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7302"/>
        <w:gridCol w:w="2048"/>
      </w:tblGrid>
      <w:tr w:rsidR="0061473E" w:rsidRPr="00D326D8" w:rsidTr="00614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D326D8" w:rsidRDefault="0061473E" w:rsidP="00EF02EC">
            <w:pPr>
              <w:pStyle w:val="NoSpacing"/>
              <w:rPr>
                <w:bCs w:val="0"/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Feature</w:t>
            </w:r>
            <w:proofErr w:type="spellEnd"/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eastAsia="el-GR"/>
              </w:rPr>
            </w:pPr>
            <w:r>
              <w:rPr>
                <w:lang w:eastAsia="el-GR"/>
              </w:rPr>
              <w:t>ABBR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D326D8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>2 Aggregate Dinucleotide Frequencies (%G+C ratio, %A+U ratio)</w:t>
            </w:r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>
              <w:rPr>
                <w:lang w:eastAsia="el-GR"/>
              </w:rPr>
              <w:t>G + C, A + U</w:t>
            </w:r>
          </w:p>
        </w:tc>
      </w:tr>
      <w:tr w:rsidR="0061473E" w:rsidRPr="00944225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EF20BC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>16 dinucleotide frequencies (%XY) such that X,Y e Σ[A,C,G,U]</w:t>
            </w:r>
          </w:p>
        </w:tc>
        <w:tc>
          <w:tcPr>
            <w:tcW w:w="1095" w:type="pct"/>
          </w:tcPr>
          <w:p w:rsidR="0061473E" w:rsidRPr="005D446A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>
              <w:rPr>
                <w:lang w:eastAsia="el-GR"/>
              </w:rPr>
              <w:t>AA, AC, AG, AU, CA, CC, CG, CU, GA, GC, GG, GU, UA, UC, UG, UU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8D25B7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 xml:space="preserve">MFE Index 1 = </w:t>
            </w:r>
            <w:proofErr w:type="spellStart"/>
            <w:r w:rsidRPr="008D25B7">
              <w:rPr>
                <w:lang w:eastAsia="el-GR"/>
              </w:rPr>
              <w:t>dG</w:t>
            </w:r>
            <w:proofErr w:type="spellEnd"/>
            <w:r w:rsidRPr="008D25B7">
              <w:rPr>
                <w:lang w:eastAsia="el-GR"/>
              </w:rPr>
              <w:t>/%(C+G)</w:t>
            </w:r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>
              <w:rPr>
                <w:lang w:eastAsia="el-GR"/>
              </w:rPr>
              <w:t>MFE1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8D25B7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 xml:space="preserve">MFE Index 2 = </w:t>
            </w:r>
            <w:proofErr w:type="spellStart"/>
            <w:r w:rsidRPr="008D25B7">
              <w:rPr>
                <w:lang w:eastAsia="el-GR"/>
              </w:rPr>
              <w:t>dG</w:t>
            </w:r>
            <w:proofErr w:type="spellEnd"/>
            <w:r w:rsidRPr="008D25B7">
              <w:rPr>
                <w:lang w:eastAsia="el-GR"/>
              </w:rPr>
              <w:t>/</w:t>
            </w:r>
            <w:proofErr w:type="spellStart"/>
            <w:r w:rsidRPr="008D25B7">
              <w:rPr>
                <w:lang w:eastAsia="el-GR"/>
              </w:rPr>
              <w:t>number_of_stems</w:t>
            </w:r>
            <w:proofErr w:type="spellEnd"/>
            <w:r w:rsidRPr="008D25B7">
              <w:rPr>
                <w:lang w:eastAsia="el-GR"/>
              </w:rPr>
              <w:t>, where each stem is at least 3 continuous base pairs in the structure</w:t>
            </w:r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>
              <w:rPr>
                <w:lang w:eastAsia="el-GR"/>
              </w:rPr>
              <w:t>MFE2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8D25B7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 xml:space="preserve">MFE Index 3 = </w:t>
            </w:r>
            <w:proofErr w:type="spellStart"/>
            <w:r w:rsidRPr="008D25B7">
              <w:rPr>
                <w:lang w:eastAsia="el-GR"/>
              </w:rPr>
              <w:t>dG</w:t>
            </w:r>
            <w:proofErr w:type="spellEnd"/>
            <w:r w:rsidRPr="008D25B7">
              <w:rPr>
                <w:lang w:eastAsia="el-GR"/>
              </w:rPr>
              <w:t>/</w:t>
            </w:r>
            <w:proofErr w:type="spellStart"/>
            <w:r w:rsidRPr="008D25B7">
              <w:rPr>
                <w:lang w:eastAsia="el-GR"/>
              </w:rPr>
              <w:t>number_of_loops</w:t>
            </w:r>
            <w:proofErr w:type="spellEnd"/>
            <w:r w:rsidRPr="008D25B7">
              <w:rPr>
                <w:lang w:eastAsia="el-GR"/>
              </w:rPr>
              <w:t xml:space="preserve"> , where </w:t>
            </w:r>
            <w:proofErr w:type="spellStart"/>
            <w:r w:rsidRPr="008D25B7">
              <w:rPr>
                <w:lang w:eastAsia="el-GR"/>
              </w:rPr>
              <w:t>number_of_loops</w:t>
            </w:r>
            <w:proofErr w:type="spellEnd"/>
            <w:r w:rsidRPr="008D25B7">
              <w:rPr>
                <w:lang w:eastAsia="el-GR"/>
              </w:rPr>
              <w:t xml:space="preserve"> is the number of the loops in the secondary structure</w:t>
            </w:r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>
              <w:rPr>
                <w:lang w:eastAsia="el-GR"/>
              </w:rPr>
              <w:t>MFE3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D326D8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 xml:space="preserve">MFE Index 4 = </w:t>
            </w:r>
            <w:proofErr w:type="spellStart"/>
            <w:r w:rsidRPr="008D25B7">
              <w:rPr>
                <w:lang w:eastAsia="el-GR"/>
              </w:rPr>
              <w:t>dG</w:t>
            </w:r>
            <w:proofErr w:type="spellEnd"/>
            <w:r w:rsidRPr="008D25B7">
              <w:rPr>
                <w:lang w:eastAsia="el-GR"/>
              </w:rPr>
              <w:t>/</w:t>
            </w:r>
            <w:proofErr w:type="spellStart"/>
            <w:r w:rsidRPr="008D25B7">
              <w:rPr>
                <w:lang w:eastAsia="el-GR"/>
              </w:rPr>
              <w:t>total_bases</w:t>
            </w:r>
            <w:proofErr w:type="spellEnd"/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>
              <w:rPr>
                <w:lang w:eastAsia="el-GR"/>
              </w:rPr>
              <w:t>MFE4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D326D8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 xml:space="preserve">MFE Index 5 = </w:t>
            </w:r>
            <w:proofErr w:type="spellStart"/>
            <w:r w:rsidRPr="008D25B7">
              <w:rPr>
                <w:lang w:eastAsia="el-GR"/>
              </w:rPr>
              <w:t>dG</w:t>
            </w:r>
            <w:proofErr w:type="spellEnd"/>
            <w:r w:rsidRPr="008D25B7">
              <w:rPr>
                <w:lang w:eastAsia="el-GR"/>
              </w:rPr>
              <w:t>/%(A+U) ratio</w:t>
            </w:r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>
              <w:rPr>
                <w:lang w:eastAsia="el-GR"/>
              </w:rPr>
              <w:t>MFE5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D326D8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 xml:space="preserve">Adjusted Minimum Free Energy of folding </w:t>
            </w:r>
            <w:proofErr w:type="spellStart"/>
            <w:r w:rsidRPr="008D25B7">
              <w:rPr>
                <w:lang w:eastAsia="el-GR"/>
              </w:rPr>
              <w:t>dG</w:t>
            </w:r>
            <w:proofErr w:type="spellEnd"/>
            <w:r w:rsidRPr="008D25B7">
              <w:rPr>
                <w:lang w:eastAsia="el-GR"/>
              </w:rPr>
              <w:t xml:space="preserve"> = MFE/L, where MFE is the minimum free energy of the structure as calculated by the Vienna fold routine</w:t>
            </w:r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dG</w:t>
            </w:r>
            <w:proofErr w:type="spellEnd"/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D326D8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 xml:space="preserve">Adjusted base pairing propensity </w:t>
            </w:r>
            <w:proofErr w:type="spellStart"/>
            <w:r w:rsidRPr="008D25B7">
              <w:rPr>
                <w:lang w:eastAsia="el-GR"/>
              </w:rPr>
              <w:t>dP</w:t>
            </w:r>
            <w:proofErr w:type="spellEnd"/>
            <w:r w:rsidRPr="008D25B7">
              <w:rPr>
                <w:lang w:eastAsia="el-GR"/>
              </w:rPr>
              <w:t xml:space="preserve"> = </w:t>
            </w:r>
            <w:proofErr w:type="spellStart"/>
            <w:r w:rsidRPr="008D25B7">
              <w:rPr>
                <w:lang w:eastAsia="el-GR"/>
              </w:rPr>
              <w:t>total_bases</w:t>
            </w:r>
            <w:proofErr w:type="spellEnd"/>
            <w:r w:rsidRPr="008D25B7">
              <w:rPr>
                <w:lang w:eastAsia="el-GR"/>
              </w:rPr>
              <w:t xml:space="preserve">/L, where L is the length of the structure and </w:t>
            </w:r>
            <w:proofErr w:type="spellStart"/>
            <w:r w:rsidRPr="008D25B7">
              <w:rPr>
                <w:lang w:eastAsia="el-GR"/>
              </w:rPr>
              <w:t>total_bases</w:t>
            </w:r>
            <w:proofErr w:type="spellEnd"/>
            <w:r w:rsidRPr="008D25B7">
              <w:rPr>
                <w:lang w:eastAsia="el-GR"/>
              </w:rPr>
              <w:t xml:space="preserve"> the number of base pairs in the structure</w:t>
            </w:r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dP</w:t>
            </w:r>
            <w:proofErr w:type="spellEnd"/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8D25B7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 xml:space="preserve">Adjusted base pair distance </w:t>
            </w:r>
            <w:proofErr w:type="spellStart"/>
            <w:r w:rsidRPr="008D25B7">
              <w:rPr>
                <w:lang w:eastAsia="el-GR"/>
              </w:rPr>
              <w:t>dD</w:t>
            </w:r>
            <w:proofErr w:type="spellEnd"/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dD</w:t>
            </w:r>
            <w:proofErr w:type="spellEnd"/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8D25B7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 xml:space="preserve">Adjusted </w:t>
            </w:r>
            <w:proofErr w:type="spellStart"/>
            <w:r w:rsidRPr="008D25B7">
              <w:rPr>
                <w:lang w:eastAsia="el-GR"/>
              </w:rPr>
              <w:t>shannon</w:t>
            </w:r>
            <w:proofErr w:type="spellEnd"/>
            <w:r w:rsidRPr="008D25B7">
              <w:rPr>
                <w:lang w:eastAsia="el-GR"/>
              </w:rPr>
              <w:t xml:space="preserve"> entropy </w:t>
            </w:r>
            <w:proofErr w:type="spellStart"/>
            <w:r w:rsidRPr="008D25B7">
              <w:rPr>
                <w:lang w:eastAsia="el-GR"/>
              </w:rPr>
              <w:t>dQ</w:t>
            </w:r>
            <w:proofErr w:type="spellEnd"/>
          </w:p>
        </w:tc>
        <w:tc>
          <w:tcPr>
            <w:tcW w:w="1095" w:type="pct"/>
          </w:tcPr>
          <w:p w:rsidR="0061473E" w:rsidRPr="005D446A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dQ</w:t>
            </w:r>
            <w:proofErr w:type="spellEnd"/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D326D8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 xml:space="preserve">Positional Entropy </w:t>
            </w:r>
            <w:proofErr w:type="spellStart"/>
            <w:r w:rsidRPr="008D25B7">
              <w:rPr>
                <w:lang w:eastAsia="el-GR"/>
              </w:rPr>
              <w:t>dPs</w:t>
            </w:r>
            <w:proofErr w:type="spellEnd"/>
            <w:r w:rsidRPr="008D25B7">
              <w:rPr>
                <w:lang w:eastAsia="el-GR"/>
              </w:rPr>
              <w:t>: a new introduced attribute which estimates the structural volatility of the secondary structure</w:t>
            </w:r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PosEntropy</w:t>
            </w:r>
            <w:proofErr w:type="spellEnd"/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D326D8" w:rsidRDefault="0061473E" w:rsidP="00EF02EC">
            <w:pPr>
              <w:pStyle w:val="NoSpacing"/>
              <w:rPr>
                <w:lang w:eastAsia="el-GR"/>
              </w:rPr>
            </w:pPr>
            <w:r w:rsidRPr="006A08BD">
              <w:rPr>
                <w:lang w:eastAsia="el-GR"/>
              </w:rPr>
              <w:t>Normalized Ensemble Free Energy</w:t>
            </w:r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>
              <w:rPr>
                <w:lang w:eastAsia="el-GR"/>
              </w:rPr>
              <w:t>EAFE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D326D8" w:rsidRDefault="0061473E" w:rsidP="00EF02EC">
            <w:pPr>
              <w:pStyle w:val="NoSpacing"/>
              <w:rPr>
                <w:lang w:eastAsia="el-GR"/>
              </w:rPr>
            </w:pPr>
            <w:r w:rsidRPr="006A08BD">
              <w:rPr>
                <w:lang w:eastAsia="el-GR"/>
              </w:rPr>
              <w:t>Structural Diversity</w:t>
            </w:r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Div</w:t>
            </w:r>
            <w:proofErr w:type="spellEnd"/>
            <w:r>
              <w:rPr>
                <w:lang w:eastAsia="el-GR"/>
              </w:rPr>
              <w:t>/ty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D326D8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>Frequency of MFE structure</w:t>
            </w:r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>
              <w:rPr>
                <w:lang w:eastAsia="el-GR"/>
              </w:rPr>
              <w:t>Freq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D326D8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>Diff = |MFE-EFE|/L where, EFE is the ensemble free energy</w:t>
            </w:r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>
              <w:rPr>
                <w:lang w:eastAsia="el-GR"/>
              </w:rPr>
              <w:t>Diff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8D25B7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 xml:space="preserve">Structure Enthalpy </w:t>
            </w:r>
            <w:proofErr w:type="spellStart"/>
            <w:r w:rsidRPr="008D25B7">
              <w:rPr>
                <w:lang w:eastAsia="el-GR"/>
              </w:rPr>
              <w:t>dH</w:t>
            </w:r>
            <w:proofErr w:type="spellEnd"/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dH</w:t>
            </w:r>
            <w:proofErr w:type="spellEnd"/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8D25B7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 xml:space="preserve">Normalized Structure Enthalpy </w:t>
            </w:r>
            <w:proofErr w:type="spellStart"/>
            <w:r w:rsidRPr="008D25B7">
              <w:rPr>
                <w:lang w:eastAsia="el-GR"/>
              </w:rPr>
              <w:t>dH</w:t>
            </w:r>
            <w:proofErr w:type="spellEnd"/>
            <w:r w:rsidRPr="008D25B7">
              <w:rPr>
                <w:lang w:eastAsia="el-GR"/>
              </w:rPr>
              <w:t>/L</w:t>
            </w:r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dH</w:t>
            </w:r>
            <w:proofErr w:type="spellEnd"/>
            <w:r>
              <w:rPr>
                <w:lang w:eastAsia="el-GR"/>
              </w:rPr>
              <w:t>/L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8D25B7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 xml:space="preserve">Structure Entropy </w:t>
            </w:r>
            <w:proofErr w:type="spellStart"/>
            <w:r w:rsidRPr="008D25B7">
              <w:rPr>
                <w:lang w:eastAsia="el-GR"/>
              </w:rPr>
              <w:t>dS</w:t>
            </w:r>
            <w:proofErr w:type="spellEnd"/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dS</w:t>
            </w:r>
            <w:proofErr w:type="spellEnd"/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8D25B7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 xml:space="preserve">Normalized Structure Entropy </w:t>
            </w:r>
            <w:proofErr w:type="spellStart"/>
            <w:r w:rsidRPr="008D25B7">
              <w:rPr>
                <w:lang w:eastAsia="el-GR"/>
              </w:rPr>
              <w:t>dS</w:t>
            </w:r>
            <w:proofErr w:type="spellEnd"/>
            <w:r w:rsidRPr="008D25B7">
              <w:rPr>
                <w:lang w:eastAsia="el-GR"/>
              </w:rPr>
              <w:t>/L</w:t>
            </w:r>
          </w:p>
        </w:tc>
        <w:tc>
          <w:tcPr>
            <w:tcW w:w="1095" w:type="pct"/>
          </w:tcPr>
          <w:p w:rsidR="0061473E" w:rsidRPr="005D446A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dS</w:t>
            </w:r>
            <w:proofErr w:type="spellEnd"/>
            <w:r>
              <w:rPr>
                <w:lang w:eastAsia="el-GR"/>
              </w:rPr>
              <w:t>/L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8D25B7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>Melting Temperature Tm</w:t>
            </w:r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>
              <w:rPr>
                <w:lang w:eastAsia="el-GR"/>
              </w:rPr>
              <w:t>Tm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8D25B7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>Normalized Melting Temperature Tm/L</w:t>
            </w:r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>
              <w:rPr>
                <w:lang w:eastAsia="el-GR"/>
              </w:rPr>
              <w:t>Tm/L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8D25B7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lastRenderedPageBreak/>
              <w:t>|X-Y| is the number of (X-Y) base pairs in the secondary structure</w:t>
            </w:r>
          </w:p>
        </w:tc>
        <w:tc>
          <w:tcPr>
            <w:tcW w:w="1095" w:type="pct"/>
          </w:tcPr>
          <w:p w:rsidR="0061473E" w:rsidRPr="005D446A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 w:rsidRPr="008D25B7">
              <w:rPr>
                <w:lang w:eastAsia="el-GR"/>
              </w:rPr>
              <w:t>|A-U|/L, |G-C|/L, |G-U|/L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8D25B7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>Average base pair per stem</w:t>
            </w:r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Avg_BP_stems</w:t>
            </w:r>
            <w:proofErr w:type="spellEnd"/>
          </w:p>
        </w:tc>
      </w:tr>
      <w:tr w:rsidR="0061473E" w:rsidRPr="00944225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8D25B7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>%(A-U)/</w:t>
            </w:r>
            <w:proofErr w:type="spellStart"/>
            <w:r w:rsidRPr="008D25B7">
              <w:rPr>
                <w:lang w:eastAsia="el-GR"/>
              </w:rPr>
              <w:t>n_stems</w:t>
            </w:r>
            <w:proofErr w:type="spellEnd"/>
            <w:r w:rsidRPr="008D25B7">
              <w:rPr>
                <w:lang w:eastAsia="el-GR"/>
              </w:rPr>
              <w:t>, %(G-C)/</w:t>
            </w:r>
            <w:proofErr w:type="spellStart"/>
            <w:r w:rsidRPr="008D25B7">
              <w:rPr>
                <w:lang w:eastAsia="el-GR"/>
              </w:rPr>
              <w:t>n_stems</w:t>
            </w:r>
            <w:proofErr w:type="spellEnd"/>
            <w:r w:rsidRPr="008D25B7">
              <w:rPr>
                <w:lang w:eastAsia="el-GR"/>
              </w:rPr>
              <w:t>, %(G-U)/</w:t>
            </w:r>
            <w:proofErr w:type="spellStart"/>
            <w:r w:rsidRPr="008D25B7">
              <w:rPr>
                <w:lang w:eastAsia="el-GR"/>
              </w:rPr>
              <w:t>n_stems</w:t>
            </w:r>
            <w:proofErr w:type="spellEnd"/>
            <w:r w:rsidRPr="008D25B7">
              <w:rPr>
                <w:lang w:eastAsia="el-GR"/>
              </w:rPr>
              <w:t>.</w:t>
            </w:r>
          </w:p>
          <w:p w:rsidR="0061473E" w:rsidRPr="00D326D8" w:rsidRDefault="0061473E" w:rsidP="00EF02EC">
            <w:pPr>
              <w:pStyle w:val="NoSpacing"/>
              <w:rPr>
                <w:lang w:eastAsia="el-GR"/>
              </w:rPr>
            </w:pPr>
          </w:p>
        </w:tc>
        <w:tc>
          <w:tcPr>
            <w:tcW w:w="1095" w:type="pct"/>
          </w:tcPr>
          <w:p w:rsidR="0061473E" w:rsidRDefault="0061473E" w:rsidP="0061473E">
            <w:pPr>
              <w:pStyle w:val="NoSpacing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>
              <w:rPr>
                <w:lang w:eastAsia="el-GR"/>
              </w:rPr>
              <w:t>(A-U)/</w:t>
            </w:r>
            <w:proofErr w:type="spellStart"/>
            <w:r>
              <w:rPr>
                <w:lang w:eastAsia="el-GR"/>
              </w:rPr>
              <w:t>n_stems</w:t>
            </w:r>
            <w:proofErr w:type="spellEnd"/>
            <w:r>
              <w:rPr>
                <w:lang w:eastAsia="el-GR"/>
              </w:rPr>
              <w:t>,</w:t>
            </w:r>
          </w:p>
          <w:p w:rsidR="0061473E" w:rsidRDefault="0061473E" w:rsidP="0061473E">
            <w:pPr>
              <w:pStyle w:val="NoSpacing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>
              <w:rPr>
                <w:lang w:eastAsia="el-GR"/>
              </w:rPr>
              <w:t>(G-C)/</w:t>
            </w:r>
            <w:proofErr w:type="spellStart"/>
            <w:r>
              <w:rPr>
                <w:lang w:eastAsia="el-GR"/>
              </w:rPr>
              <w:t>n_stems</w:t>
            </w:r>
            <w:proofErr w:type="spellEnd"/>
            <w:r>
              <w:rPr>
                <w:lang w:eastAsia="el-GR"/>
              </w:rPr>
              <w:t>,</w:t>
            </w:r>
          </w:p>
          <w:p w:rsidR="0061473E" w:rsidRPr="008D25B7" w:rsidRDefault="0061473E" w:rsidP="0061473E">
            <w:pPr>
              <w:pStyle w:val="NoSpacing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 w:rsidRPr="008D25B7">
              <w:rPr>
                <w:lang w:eastAsia="el-GR"/>
              </w:rPr>
              <w:t>(G-U)/</w:t>
            </w:r>
            <w:proofErr w:type="spellStart"/>
            <w:r w:rsidRPr="008D25B7">
              <w:rPr>
                <w:lang w:eastAsia="el-GR"/>
              </w:rPr>
              <w:t>n_stems</w:t>
            </w:r>
            <w:proofErr w:type="spellEnd"/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D326D8" w:rsidRDefault="0061473E" w:rsidP="00EF02EC">
            <w:pPr>
              <w:pStyle w:val="NoSpacing"/>
              <w:rPr>
                <w:lang w:eastAsia="el-GR"/>
              </w:rPr>
            </w:pPr>
            <w:r w:rsidRPr="008D25B7">
              <w:rPr>
                <w:lang w:eastAsia="el-GR"/>
              </w:rPr>
              <w:t>Ratio G/C ,where G,C is the number of G,C bases</w:t>
            </w:r>
          </w:p>
        </w:tc>
        <w:tc>
          <w:tcPr>
            <w:tcW w:w="1095" w:type="pct"/>
          </w:tcPr>
          <w:p w:rsidR="0061473E" w:rsidRPr="00A51BE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>
              <w:rPr>
                <w:lang w:eastAsia="el-GR"/>
              </w:rPr>
              <w:t>G/C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8D25B7" w:rsidRDefault="0061473E" w:rsidP="00EF02EC">
            <w:pPr>
              <w:pStyle w:val="NoSpacing"/>
              <w:rPr>
                <w:lang w:eastAsia="el-GR"/>
              </w:rPr>
            </w:pPr>
            <w:r w:rsidRPr="006A08BD">
              <w:rPr>
                <w:lang w:eastAsia="el-GR"/>
              </w:rPr>
              <w:t>BP is the total number of base pairs and GC,GU,AU the number of respective base pairs</w:t>
            </w:r>
          </w:p>
        </w:tc>
        <w:tc>
          <w:tcPr>
            <w:tcW w:w="1095" w:type="pct"/>
          </w:tcPr>
          <w:p w:rsidR="0061473E" w:rsidRPr="009D6475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 w:eastAsia="el-GR"/>
              </w:rPr>
            </w:pPr>
            <w:r w:rsidRPr="009D6475">
              <w:rPr>
                <w:lang w:val="de-DE" w:eastAsia="el-GR"/>
              </w:rPr>
              <w:t>BP/GC, BP/GU, BP/AU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6A08BD" w:rsidRDefault="0061473E" w:rsidP="00EF02EC">
            <w:pPr>
              <w:pStyle w:val="NoSpacing"/>
              <w:rPr>
                <w:lang w:eastAsia="el-GR"/>
              </w:rPr>
            </w:pPr>
            <w:r w:rsidRPr="006A08BD">
              <w:rPr>
                <w:lang w:eastAsia="el-GR"/>
              </w:rPr>
              <w:t>Length of the sequence</w:t>
            </w:r>
          </w:p>
        </w:tc>
        <w:tc>
          <w:tcPr>
            <w:tcW w:w="1095" w:type="pct"/>
          </w:tcPr>
          <w:p w:rsidR="0061473E" w:rsidRPr="006A08BD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 w:rsidRPr="006A08BD">
              <w:rPr>
                <w:lang w:eastAsia="el-GR"/>
              </w:rPr>
              <w:t>Len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6A08BD" w:rsidRDefault="0061473E" w:rsidP="00EF02EC">
            <w:pPr>
              <w:pStyle w:val="NoSpacing"/>
              <w:rPr>
                <w:lang w:eastAsia="el-GR"/>
              </w:rPr>
            </w:pPr>
            <w:r w:rsidRPr="006A08BD">
              <w:rPr>
                <w:lang w:eastAsia="el-GR"/>
              </w:rPr>
              <w:t>Centroid Energy: RNA folding related attribute calculated by the Vienna RNA package</w:t>
            </w:r>
          </w:p>
        </w:tc>
        <w:tc>
          <w:tcPr>
            <w:tcW w:w="1095" w:type="pct"/>
          </w:tcPr>
          <w:p w:rsidR="0061473E" w:rsidRPr="006A08BD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r w:rsidRPr="006A08BD">
              <w:rPr>
                <w:lang w:eastAsia="el-GR"/>
              </w:rPr>
              <w:t>CE/L</w:t>
            </w:r>
          </w:p>
        </w:tc>
      </w:tr>
      <w:tr w:rsidR="0061473E" w:rsidRPr="00D326D8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6A08BD" w:rsidRDefault="0061473E" w:rsidP="00EF02EC">
            <w:pPr>
              <w:pStyle w:val="NoSpacing"/>
              <w:rPr>
                <w:lang w:eastAsia="el-GR"/>
              </w:rPr>
            </w:pPr>
            <w:r w:rsidRPr="006A08BD">
              <w:rPr>
                <w:lang w:eastAsia="el-GR"/>
              </w:rPr>
              <w:t>Centroid Distance: RNA folding related attribute calculated by the Vienna RNA package</w:t>
            </w:r>
          </w:p>
        </w:tc>
        <w:tc>
          <w:tcPr>
            <w:tcW w:w="1095" w:type="pct"/>
          </w:tcPr>
          <w:p w:rsidR="0061473E" w:rsidRPr="006A08BD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proofErr w:type="spellStart"/>
            <w:r w:rsidRPr="006A08BD">
              <w:rPr>
                <w:lang w:eastAsia="el-GR"/>
              </w:rPr>
              <w:t>CE_dist</w:t>
            </w:r>
            <w:proofErr w:type="spellEnd"/>
          </w:p>
        </w:tc>
      </w:tr>
      <w:tr w:rsidR="0061473E" w:rsidRPr="00944225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6A08BD" w:rsidRDefault="0061473E" w:rsidP="00EF02EC">
            <w:pPr>
              <w:pStyle w:val="NoSpacing"/>
              <w:rPr>
                <w:lang w:eastAsia="el-GR"/>
              </w:rPr>
            </w:pPr>
            <w:r w:rsidRPr="006A08BD">
              <w:rPr>
                <w:lang w:eastAsia="el-GR"/>
              </w:rPr>
              <w:t>5 statistical features</w:t>
            </w:r>
          </w:p>
        </w:tc>
        <w:tc>
          <w:tcPr>
            <w:tcW w:w="1095" w:type="pct"/>
          </w:tcPr>
          <w:p w:rsidR="0061473E" w:rsidRPr="006A08BD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proofErr w:type="spellStart"/>
            <w:r w:rsidRPr="006A08BD">
              <w:rPr>
                <w:lang w:eastAsia="el-GR"/>
              </w:rPr>
              <w:t>zG</w:t>
            </w:r>
            <w:proofErr w:type="spellEnd"/>
            <w:r w:rsidRPr="006A08BD">
              <w:rPr>
                <w:lang w:eastAsia="el-GR"/>
              </w:rPr>
              <w:t xml:space="preserve">, </w:t>
            </w:r>
            <w:proofErr w:type="spellStart"/>
            <w:r w:rsidRPr="006A08BD">
              <w:rPr>
                <w:lang w:eastAsia="el-GR"/>
              </w:rPr>
              <w:t>zP</w:t>
            </w:r>
            <w:proofErr w:type="spellEnd"/>
            <w:r w:rsidRPr="006A08BD">
              <w:rPr>
                <w:lang w:eastAsia="el-GR"/>
              </w:rPr>
              <w:t xml:space="preserve">, </w:t>
            </w:r>
            <w:proofErr w:type="spellStart"/>
            <w:r w:rsidRPr="006A08BD">
              <w:rPr>
                <w:lang w:eastAsia="el-GR"/>
              </w:rPr>
              <w:t>zD</w:t>
            </w:r>
            <w:proofErr w:type="spellEnd"/>
            <w:r w:rsidRPr="006A08BD">
              <w:rPr>
                <w:lang w:eastAsia="el-GR"/>
              </w:rPr>
              <w:t xml:space="preserve">, </w:t>
            </w:r>
            <w:proofErr w:type="spellStart"/>
            <w:r w:rsidRPr="006A08BD">
              <w:rPr>
                <w:lang w:eastAsia="el-GR"/>
              </w:rPr>
              <w:t>zQ</w:t>
            </w:r>
            <w:proofErr w:type="spellEnd"/>
            <w:r w:rsidRPr="006A08BD">
              <w:rPr>
                <w:lang w:eastAsia="el-GR"/>
              </w:rPr>
              <w:t xml:space="preserve">, </w:t>
            </w:r>
            <w:proofErr w:type="spellStart"/>
            <w:r w:rsidRPr="006A08BD">
              <w:rPr>
                <w:lang w:eastAsia="el-GR"/>
              </w:rPr>
              <w:t>zSP</w:t>
            </w:r>
            <w:proofErr w:type="spellEnd"/>
          </w:p>
        </w:tc>
      </w:tr>
      <w:tr w:rsidR="0061473E" w:rsidRPr="006A08BD" w:rsidTr="00614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hideMark/>
          </w:tcPr>
          <w:p w:rsidR="0061473E" w:rsidRPr="006A08BD" w:rsidRDefault="0061473E" w:rsidP="00EF02EC">
            <w:pPr>
              <w:pStyle w:val="NoSpacing"/>
              <w:rPr>
                <w:lang w:eastAsia="el-GR"/>
              </w:rPr>
            </w:pPr>
            <w:r w:rsidRPr="006A08BD">
              <w:rPr>
                <w:lang w:eastAsia="el-GR"/>
              </w:rPr>
              <w:t xml:space="preserve">Topological descriptor </w:t>
            </w:r>
            <w:proofErr w:type="spellStart"/>
            <w:r w:rsidRPr="006A08BD">
              <w:rPr>
                <w:lang w:eastAsia="el-GR"/>
              </w:rPr>
              <w:t>dF</w:t>
            </w:r>
            <w:proofErr w:type="spellEnd"/>
          </w:p>
        </w:tc>
        <w:tc>
          <w:tcPr>
            <w:tcW w:w="1095" w:type="pct"/>
          </w:tcPr>
          <w:p w:rsidR="0061473E" w:rsidRPr="006A08BD" w:rsidRDefault="0061473E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l-GR"/>
              </w:rPr>
            </w:pPr>
            <w:proofErr w:type="spellStart"/>
            <w:r w:rsidRPr="006A08BD">
              <w:rPr>
                <w:lang w:eastAsia="el-GR"/>
              </w:rPr>
              <w:t>dF</w:t>
            </w:r>
            <w:proofErr w:type="spellEnd"/>
          </w:p>
        </w:tc>
      </w:tr>
    </w:tbl>
    <w:p w:rsidR="00F307FD" w:rsidRPr="004961D6" w:rsidRDefault="00F307FD" w:rsidP="00F307FD">
      <w:pPr>
        <w:spacing w:before="0" w:after="160" w:line="240" w:lineRule="auto"/>
        <w:jc w:val="left"/>
        <w:rPr>
          <w:rFonts w:ascii="Calibri" w:eastAsia="Calibri" w:hAnsi="Calibri" w:cs="Times New Roman"/>
          <w:b w:val="0"/>
          <w:bCs w:val="0"/>
          <w:color w:val="auto"/>
        </w:rPr>
      </w:pPr>
      <w:r>
        <w:rPr>
          <w:rFonts w:ascii="Calibri" w:eastAsia="Calibri" w:hAnsi="Calibri" w:cs="Times New Roman"/>
          <w:bCs w:val="0"/>
          <w:color w:val="auto"/>
        </w:rPr>
        <w:t xml:space="preserve">Supplementary </w:t>
      </w:r>
      <w:r w:rsidRPr="004961D6">
        <w:rPr>
          <w:rFonts w:ascii="Calibri" w:eastAsia="Calibri" w:hAnsi="Calibri" w:cs="Times New Roman"/>
          <w:bCs w:val="0"/>
          <w:color w:val="auto"/>
        </w:rPr>
        <w:t xml:space="preserve">Table </w:t>
      </w:r>
      <w:r>
        <w:rPr>
          <w:rFonts w:ascii="Calibri" w:eastAsia="Calibri" w:hAnsi="Calibri" w:cs="Times New Roman"/>
          <w:bCs w:val="0"/>
          <w:color w:val="auto"/>
        </w:rPr>
        <w:t>1</w:t>
      </w:r>
      <w:r w:rsidRPr="004961D6">
        <w:rPr>
          <w:rFonts w:ascii="Calibri" w:eastAsia="Calibri" w:hAnsi="Calibri" w:cs="Times New Roman"/>
          <w:bCs w:val="0"/>
          <w:color w:val="auto"/>
        </w:rPr>
        <w:t>:</w:t>
      </w:r>
      <w:r w:rsidRPr="004961D6">
        <w:rPr>
          <w:rFonts w:ascii="Calibri" w:eastAsia="Calibri" w:hAnsi="Calibri" w:cs="Times New Roman"/>
          <w:b w:val="0"/>
          <w:bCs w:val="0"/>
          <w:color w:val="auto"/>
        </w:rPr>
        <w:t xml:space="preserve"> InSyBio ncRNASeq</w:t>
      </w:r>
      <w:r w:rsidRPr="00F307FD">
        <w:t xml:space="preserve"> </w:t>
      </w:r>
      <w:r w:rsidRPr="00F307FD">
        <w:rPr>
          <w:rFonts w:ascii="Calibri" w:eastAsia="Calibri" w:hAnsi="Calibri" w:cs="Times New Roman"/>
          <w:b w:val="0"/>
          <w:bCs w:val="0"/>
          <w:color w:val="auto"/>
        </w:rPr>
        <w:t xml:space="preserve">supported features for the characterization of the </w:t>
      </w:r>
      <w:bookmarkStart w:id="0" w:name="_GoBack"/>
      <w:bookmarkEnd w:id="0"/>
      <w:r w:rsidRPr="00F307FD">
        <w:rPr>
          <w:rFonts w:ascii="Calibri" w:eastAsia="Calibri" w:hAnsi="Calibri" w:cs="Times New Roman"/>
          <w:b w:val="0"/>
          <w:bCs w:val="0"/>
          <w:color w:val="auto"/>
        </w:rPr>
        <w:t>ncRNA sequences</w:t>
      </w:r>
    </w:p>
    <w:p w:rsidR="008F5AFF" w:rsidRDefault="008F5AFF"/>
    <w:p w:rsidR="00F307FD" w:rsidRDefault="00F307FD"/>
    <w:sectPr w:rsidR="00F30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3E"/>
    <w:rsid w:val="0061473E"/>
    <w:rsid w:val="007A03AF"/>
    <w:rsid w:val="00826A86"/>
    <w:rsid w:val="008D0225"/>
    <w:rsid w:val="008F5AFF"/>
    <w:rsid w:val="00F3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CC32"/>
  <w15:chartTrackingRefBased/>
  <w15:docId w15:val="{459EB825-14EF-4DC7-B0CF-7C5EF6ED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1473E"/>
    <w:pPr>
      <w:spacing w:before="120" w:after="120" w:line="300" w:lineRule="atLeast"/>
      <w:jc w:val="both"/>
    </w:pPr>
    <w:rPr>
      <w:rFonts w:ascii="Candara" w:hAnsi="Candara"/>
      <w:b/>
      <w:bCs/>
      <w:color w:val="2067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1473E"/>
    <w:pPr>
      <w:autoSpaceDE w:val="0"/>
      <w:autoSpaceDN w:val="0"/>
      <w:adjustRightInd w:val="0"/>
      <w:spacing w:before="0"/>
    </w:pPr>
    <w:rPr>
      <w:b w:val="0"/>
      <w:bCs w:val="0"/>
      <w:color w:val="auto"/>
      <w:lang w:val="en-GB"/>
    </w:rPr>
  </w:style>
  <w:style w:type="table" w:styleId="GridTable1Light">
    <w:name w:val="Grid Table 1 Light"/>
    <w:basedOn w:val="TableNormal"/>
    <w:uiPriority w:val="46"/>
    <w:rsid w:val="006147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1878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aigli</dc:creator>
  <cp:keywords/>
  <dc:description/>
  <cp:lastModifiedBy>aigli</cp:lastModifiedBy>
  <cp:revision>2</cp:revision>
  <dcterms:created xsi:type="dcterms:W3CDTF">2016-12-09T16:26:00Z</dcterms:created>
  <dcterms:modified xsi:type="dcterms:W3CDTF">2016-12-09T16:36:00Z</dcterms:modified>
</cp:coreProperties>
</file>