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50E8" w14:textId="754211B4" w:rsidR="00F47D79" w:rsidRPr="00490428" w:rsidRDefault="00F47D79" w:rsidP="00F47D79">
      <w:pPr>
        <w:spacing w:line="240" w:lineRule="auto"/>
        <w:jc w:val="both"/>
        <w:rPr>
          <w:rFonts w:cstheme="minorHAnsi"/>
          <w:b/>
          <w:sz w:val="24"/>
          <w:szCs w:val="24"/>
          <w:lang w:val="en-US"/>
        </w:rPr>
      </w:pPr>
      <w:r w:rsidRPr="00490428">
        <w:rPr>
          <w:rFonts w:cstheme="minorHAnsi"/>
          <w:b/>
          <w:sz w:val="24"/>
          <w:szCs w:val="24"/>
          <w:lang w:val="en-US"/>
        </w:rPr>
        <w:t xml:space="preserve">Table </w:t>
      </w:r>
      <w:r w:rsidR="00344DEC">
        <w:rPr>
          <w:rFonts w:cstheme="minorHAnsi"/>
          <w:b/>
          <w:sz w:val="24"/>
          <w:szCs w:val="24"/>
          <w:lang w:val="en-US"/>
        </w:rPr>
        <w:t>S</w:t>
      </w:r>
      <w:r w:rsidRPr="00490428">
        <w:rPr>
          <w:rFonts w:cstheme="minorHAnsi"/>
          <w:b/>
          <w:sz w:val="24"/>
          <w:szCs w:val="24"/>
          <w:lang w:val="en-US"/>
        </w:rPr>
        <w:t>1</w:t>
      </w:r>
      <w:r w:rsidR="001B336A">
        <w:rPr>
          <w:rFonts w:cstheme="minorHAnsi"/>
          <w:b/>
          <w:sz w:val="24"/>
          <w:szCs w:val="24"/>
          <w:lang w:val="en-US"/>
        </w:rPr>
        <w:t>a</w:t>
      </w:r>
      <w:r w:rsidRPr="00490428">
        <w:rPr>
          <w:rFonts w:cstheme="minorHAnsi"/>
          <w:b/>
          <w:sz w:val="24"/>
          <w:szCs w:val="24"/>
          <w:lang w:val="en-US"/>
        </w:rPr>
        <w:t xml:space="preserve">. </w:t>
      </w:r>
      <w:r w:rsidRPr="00490428">
        <w:rPr>
          <w:rFonts w:cstheme="minorHAnsi"/>
          <w:bCs/>
          <w:sz w:val="24"/>
          <w:szCs w:val="24"/>
          <w:lang w:val="en-US"/>
        </w:rPr>
        <w:t xml:space="preserve">Gene clusters involved in resistance and susceptibility to infections </w:t>
      </w:r>
      <w:r w:rsidRPr="00490428">
        <w:rPr>
          <w:rFonts w:cstheme="minorHAnsi"/>
          <w:sz w:val="24"/>
          <w:szCs w:val="24"/>
          <w:lang w:val="en-US"/>
        </w:rPr>
        <w:fldChar w:fldCharType="begin"/>
      </w:r>
      <w:r>
        <w:rPr>
          <w:rFonts w:cstheme="minorHAnsi"/>
          <w:sz w:val="24"/>
          <w:szCs w:val="24"/>
          <w:lang w:val="en-US"/>
        </w:rPr>
        <w:instrText xml:space="preserve"> ADDIN ZOTERO_ITEM CSL_CITATION {"citationID":"oJCVcZ40","properties":{"formattedCitation":"(Janeway and Medzhitov, 2002; Paz-y-Mino Cepeda et al., 2005; Khor and Hibberd, 2012; Rolland et al., 2014; Walker et al., 2015; Mozzi et al., 2018; Amato et al., 2019; Horwood et al., 2019; Rotival, 2019; Luck et al., 2020; Nahon and Cobat, 2020; Paz-y-Mi\\uc0\\u241{}o et al., 2021; Paz y Mi\\uc0\\u241{}o Cepeda, 2024)","plainCitation":"(Janeway and Medzhitov, 2002; Paz-y-Mino Cepeda et al., 2005; Khor and Hibberd, 2012; Rolland et al., 2014; Walker et al., 2015; Mozzi et al., 2018; Amato et al., 2019; Horwood et al., 2019; Rotival, 2019; Luck et al., 2020; Nahon and Cobat, 2020; Paz-y-Miño et al., 2021; Paz y Miño Cepeda, 2024)","noteIndex":0},"citationItems":[{"id":19,"uris":["http://zotero.org/users/15615967/items/R5BYZ4D3"],"itemData":{"id":19,"type":"book","abstract":"Este libro pretende dar una mirada a la propuesta evolutiva global, desde el inicio del universo; así como, al papel del agua en el origen de la vida, los viajes de Darwin, las teorías contrarias, el aporte de la genetica, tratando además de abarcar la comprensión de lo ocurrido despues de Darwin y la evolución cultural. Los diferentes textos recogen las visiones de dos interesantes autores, el uno economista y el otro biólogo, que abordan nuevas teorías sobre el origen de la cooperación entre humanos y su papel en la evolución, así como el origen de la agresividad, el papel del estres, el altruismo y el egoísmo como características humanas","event-place":"Baltimore, Maryland","ISBN":"978-9942-843-28-9","language":"spa","note":"OCLC: 1464593592","publisher":"Project Muse","publisher-place":"Baltimore, Maryland","source":"Open WorldCat","title":"Rompecabezas evolutivo","author":[{"family":"Paz y Miño Cepeda","given":"Cesar"}],"issued":{"date-parts":[["2024"]]}},"label":"page"},{"id":54,"uris":["http://zotero.org/users/15615967/items/ZX7ZM8VF"],"itemData":{"id":54,"type":"article-journal","container-title":"Human Biology","DOI":"10.1353/hub.2005.0068","ISSN":"1534-6617","issue":"4","journalAbbreviation":"Human Biology","language":"en","page":"521-526","source":"DOI.org (Crossref)","title":"CCR5Δ, CCR2-64I, and SDF1-3'A Polymorphisms Related to Resistance to HIV-1 Infection and Disease in the Ecuadoran Population","volume":"77","author":[{"family":"Paz-y-Mino Cepeda","given":"Cesar"},{"family":"Morillo","given":"Santiago A."},{"family":"Celi","given":"Ana P."},{"family":"Witte","given":"Tania"},{"family":"Munoz Guijarro","given":"Maria Jose"},{"family":"Collantes","given":"Juan Carlos"},{"family":"Leone","given":"Paola E."}],"issued":{"date-parts":[["2005"]]}},"label":"page"},{"id":55,"uris":["http://zotero.org/users/15615967/items/RDWMTYEP"],"itemData":{"id":55,"type":"article-journal","abstract":"Human evolution has been punctuated by climate anomalies, structuring environments, deadly infections, and altering landscapes. How well humans adapted to these new circumstances had direct effects on fitness and survival. Here, how the gut microbiome could have contributed to human evolutionary success through contributions to host nutritional buffering and infectious disease resistance is reviewed. How changes in human genetics, diet, disease exposure, and social environments almost certainly altered microbial community composition is also explored. Emerging research points to the microbiome as a key player in host responses to environmental change. Therefore, the reciprocal interactions between humans and their microbes are likely to have shaped human patterns of local adaptation throughout our shared evolutionary history. Recent alterations in human lifestyle, however, are altering human microbiomes in unprecedented ways. The consequences of interrupted host–microbe relationships for human adaptive potential in the future are unknown.","container-title":"BioEssays","DOI":"10.1002/bies.201900034","ISSN":"0265-9247, 1521-1878","issue":"10","journalAbbreviation":"BioEssays","language":"en","page":"1900034","source":"DOI.org (Crossref)","title":"Shifting Climates, Foods, and Diseases: The Human Microbiome through Evolution","title-short":"Shifting Climates, Foods, and Diseases","volume":"41","author":[{"family":"Amato","given":"Katherine R."},{"family":"Jeyakumar","given":"Thiviya"},{"family":"Poinar","given":"Hendrik"},{"family":"Gros","given":"Philippe"}],"issued":{"date-parts":[["2019",10]]}},"label":"page"},{"id":56,"uris":["http://zotero.org/users/15615967/items/3B7X2PZC"],"itemData":{"id":56,"type":"article-journal","abstract":"Over the last 10 years, genome‐wide association studies (GWAS) have identified hundreds of susceptibility loci for autoimmune diseases. However, despite increasing power for the detection of both common and rare coding variants affecting disease susceptibility, a large fraction of disease heritability has remained unexplained. In addition, a majority of the identified loci are located in noncoding regions, and translation of disease‐associated loci into new biological insights on the etiology of immune disorders has been lagging. This highlights the need for a better understanding of noncoding variation and new strategies to identify causal genes at disease loci. In this review, I will first detail the molecular basis of gene expression and review the various mechanisms that contribute to alter gene activity at the transcriptional and post‐transcriptional level. I will then review the findings from 10 years of functional genomics studies regarding the genetics on gene expression, in particular in the context of infection. Finally, I will discuss the extent to which genetic variants that modulate gene expression at transcriptional and post‐transcriptional level contribute to disease susceptibility and present strategies to leverage this information for the identification of causal mechanisms at disease loci in the era of whole genome sequencing.","container-title":"HLA","DOI":"10.1111/tan.13598","ISSN":"2059-2302, 2059-2310","issue":"3","journalAbbreviation":"HLA","language":"en","page":"275-284","source":"DOI.org (Crossref)","title":"Characterising the genetic basis of immune response variation to identify causal mechanisms underlying disease susceptibility","volume":"94","author":[{"family":"Rotival","given":"Maxime"}],"issued":{"date-parts":[["2019",9]]}},"label":"page"},{"id":72,"uris":["http://zotero.org/users/15615967/items/8DAXEACK"],"itemData":{"id":72,"type":"article-journal","container-title":"Trends in Genetics","DOI":"10.1016/j.tig.2012.02.001","ISSN":"01689525","issue":"5","journalAbbreviation":"Trends in Genetics","language":"en","license":"https://www.elsevier.com/tdm/userlicense/1.0/","page":"233-243","source":"DOI.org (Crossref)","title":"Host–pathogen interactions revealed by human genome-wide surveys","volume":"28","author":[{"family":"Khor","given":"Chiea Chuen"},{"family":"Hibberd","given":"Martin L."}],"issued":{"date-parts":[["2012",5]]}},"label":"page"},{"id":59,"uris":["http://zotero.org/users/15615967/items/AXJUFW9F"],"itemData":{"id":59,"type":"article-journal","abstract":"The innate immune system is a universal and ancient form of host defense against infection. Innate immune recognition relies on a limited number of germline-encoded receptors. These receptors evolved to recognize conserved products of microbial metabolism produced by microbial pathogens, but not by the host. Recognition of these molecular structures allows the immune system to distinguish infectious nonself from noninfectious self. Toll-like receptors play a major role in pathogen recognition and initiation of inflammatory and immune responses. Stimulation of Toll-like receptors by microbial products leads to the activation of signaling pathways that result in the induction of antimicrobial genes and inflammatory cytokines. In addition, stimulation of Toll-like receptors triggers dendritic cell maturation and results in the induction of costimulatory molecules and increased antigen-presenting capacity. Thus, microbial recognition by Toll-like receptors helps to direct adaptive immune responses to antigens derived from microbial pathogens.","container-title":"Annual Review of Immunology","DOI":"10.1146/annurev.immunol.20.083001.084359","ISSN":"0732-0582, 1545-3278","issue":"1","journalAbbreviation":"Annu. Rev. Immunol.","language":"en","page":"197-216","source":"DOI.org (Crossref)","title":"Innate Immune Recognition","volume":"20","author":[{"family":"Janeway","given":"Charles A."},{"family":"Medzhitov","given":"Ruslan"}],"issued":{"date-parts":[["2002",4]]}},"label":"page"},{"id":60,"uris":["http://zotero.org/users/15615967/items/63GRSR6C"],"itemData":{"id":60,"type":"article-journal","container-title":"Human Genetics","DOI":"10.1007/s00439-020-02136-4","ISSN":"0340-6717, 1432-1203","issue":"6-7","journalAbbreviation":"Hum Genet","language":"en","page":"855-863","source":"DOI.org (Crossref)","title":"Human genetics of HCV infection phenotypes in the era of direct-acting antivirals","volume":"139","author":[{"family":"Nahon","given":"Pierre"},{"family":"Cobat","given":"Aurélie"}],"issued":{"date-parts":[["2020",6]]}},"label":"page"},{"id":61,"uris":["http://zotero.org/users/15615967/items/GYUAXW4F"],"itemData":{"id":61,"type":"article-journal","container-title":"Infection, Genetics and Evolution","DOI":"10.1016/j.meegid.2017.09.028","ISSN":"15671348","journalAbbreviation":"Infection, Genetics and Evolution","language":"en","page":"286-307","source":"DOI.org (Crossref)","title":"Genetic susceptibility to infectious diseases: Current status and future perspectives from genome-wide approaches","title-short":"Genetic susceptibility to infectious diseases","volume":"66","author":[{"family":"Mozzi","given":"Alessandra"},{"family":"Pontremoli","given":"Chiara"},{"family":"Sironi","given":"Manuela"}],"issued":{"date-parts":[["2018",12]]}},"label":"page"},{"id":69,"uris":["http://zotero.org/users/15615967/items/URFTPDVS"],"itemData":{"id":69,"type":"article-journal","container-title":"Bionatura","DOI":"10.21931/RB/2021.06.01.17","issue":"1","page":"1555–62","title":"Interactoma de predisposición y resistencia a SARS-CoV-2. Proteínas, genes y funciones","volume":"6","author":[{"family":"Paz-y-Miño","given":"Cesar"},{"family":"Zambrano","given":"A.K"},{"family":"Leone","given":"P.E"}],"issued":{"date-parts":[["2021"]]}},"label":"page"},{"id":70,"uris":["http://zotero.org/users/15615967/items/N779A43X"],"itemData":{"id":70,"type":"article-journal","container-title":"Frontiers in Immunology","DOI":"10.3389/fimmu.2019.02184","ISSN":"1664-3224","journalAbbreviation":"Front. Immunol.","page":"2184","source":"DOI.org (Crossref)","title":"Health Challenges of the Pacific Region: Insights From History, Geography, Social Determinants, Genetics, and the Microbiome","title-short":"Health Challenges of the Pacific Region","volume":"10","author":[{"family":"Horwood","given":"Paul F."},{"family":"Tarantola","given":"Arnaud"},{"family":"Goarant","given":"Cyrille"},{"family":"Matsui","given":"Mariko"},{"family":"Klement","given":"Elise"},{"family":"Umezaki","given":"Masahiro"},{"family":"Navarro","given":"Severine"},{"family":"Greenhill","given":"Andrew R."}],"issued":{"date-parts":[["2019",9,13]]}},"label":"page"},{"id":73,"uris":["http://zotero.org/users/15615967/items/VSXYALLT"],"itemData":{"id":73,"type":"article-journal","container-title":"The Lancet Infectious Diseases","DOI":"10.1016/S1473-3099(15)00062-6","ISSN":"14733099","issue":"10","journalAbbreviation":"The Lancet Infectious Diseases","language":"en","page":"1193-1202","source":"DOI.org (Crossref)","title":"Whole-genome sequencing for prediction of Mycobacterium tuberculosis drug susceptibility and resistance: a retrospective cohort study","title-short":"Whole-genome sequencing for prediction of Mycobacterium tuberculosis drug susceptibility and resistance","volume":"15","author":[{"family":"Walker","given":"Timothy M"},{"family":"Kohl","given":"Thomas A"},{"family":"Omar","given":"Shaheed V"},{"family":"Hedge","given":"Jessica"},{"family":"Del Ojo Elias","given":"Carlos"},{"family":"Bradley","given":"Phelim"},{"family":"Iqbal","given":"Zamin"},{"family":"Feuerriegel","given":"Silke"},{"family":"Niehaus","given":"Katherine E"},{"family":"Wilson","given":"Daniel J"},{"family":"Clifton","given":"David A"},{"family":"Kapatai","given":"Georgia"},{"family":"Ip","given":"Camilla L C"},{"family":"Bowden","given":"Rory"},{"family":"Drobniewski","given":"Francis A"},{"family":"Allix-Béguec","given":"Caroline"},{"family":"Gaudin","given":"Cyril"},{"family":"Parkhill","given":"Julian"},{"family":"Diel","given":"Roland"},{"family":"Supply","given":"Philip"},{"family":"Crook","given":"Derrick W"},{"family":"Smith","given":"E Grace"},{"family":"Walker","given":"A Sarah"},{"family":"Ismail","given":"Nazir"},{"family":"Niemann","given":"Stefan"},{"family":"Peto","given":"Tim E A"}],"issued":{"date-parts":[["2015",10]]}},"label":"page"},{"id":77,"uris":["http://zotero.org/users/15615967/items/KVSZZUPY"],"itemData":{"id":77,"type":"article-journal","container-title":"Cell","DOI":"10.1016/j.cell.2014.10.050","ISSN":"00928674","issue":"5","journalAbbreviation":"Cell","language":"en","page":"1212-1226","source":"DOI.org (Crossref)","title":"A Proteome-Scale Map of the Human Interactome Network","volume":"159","author":[{"family":"Rolland","given":"Thomas"},{"family":"Taşan","given":"Murat"},{"family":"Charloteaux","given":"Benoit"},{"family":"Pevzner","given":"Samuel J."},{"family":"Zhong","given":"Quan"},{"family":"Sahni","given":"Nidhi"},{"family":"Yi","given":"Song"},{"family":"Lemmens","given":"Irma"},{"family":"Fontanillo","given":"Celia"},{"family":"Mosca","given":"Roberto"},{"family":"Kamburov","given":"Atanas"},{"family":"Ghiassian","given":"Susan D."},{"family":"Yang","given":"Xinping"},{"family":"Ghamsari","given":"Lila"},{"family":"Balcha","given":"Dawit"},{"family":"Begg","given":"Bridget E."},{"family":"Braun","given":"Pascal"},{"family":"Brehme","given":"Marc"},{"family":"Broly","given":"Martin P."},{"family":"Carvunis","given":"Anne-Ruxandra"},{"family":"Convery-Zupan","given":"Dan"},{"family":"Corominas","given":"Roser"},{"family":"Coulombe-Huntington","given":"Jasmin"},{"family":"Dann","given":"Elizabeth"},{"family":"Dreze","given":"Matija"},{"family":"Dricot","given":"Amélie"},{"family":"Fan","given":"Changyu"},{"family":"Franzosa","given":"Eric"},{"family":"Gebreab","given":"Fana"},{"family":"Gutierrez","given":"Bryan J."},{"family":"Hardy","given":"Madeleine F."},{"family":"Jin","given":"Mike"},{"family":"Kang","given":"Shuli"},{"family":"Kiros","given":"Ruth"},{"family":"Lin","given":"Guan Ning"},{"family":"Luck","given":"Katja"},{"family":"MacWilliams","given":"Andrew"},{"family":"Menche","given":"Jörg"},{"family":"Murray","given":"Ryan R."},{"family":"Palagi","given":"Alexandre"},{"family":"Poulin","given":"Matthew M."},{"family":"Rambout","given":"Xavier"},{"family":"Rasla","given":"John"},{"family":"Reichert","given":"Patrick"},{"family":"Romero","given":"Viviana"},{"family":"Ruyssinck","given":"Elien"},{"family":"Sahalie","given":"Julie M."},{"family":"Scholz","given":"Annemarie"},{"family":"Shah","given":"Akash A."},{"family":"Sharma","given":"Amitabh"},{"family":"Shen","given":"Yun"},{"family":"Spirohn","given":"Kerstin"},{"family":"Tam","given":"Stanley"},{"family":"Tejeda","given":"Alexander O."},{"family":"Wanamaker","given":"Shelly A."},{"family":"Twizere","given":"Jean-Claude"},{"family":"Vega","given":"Kerwin"},{"family":"Walsh","given":"Jennifer"},{"family":"Cusick","given":"Michael E."},{"family":"Xia","given":"Yu"},{"family":"Barabási","given":"Albert-László"},{"family":"Iakoucheva","given":"Lilia M."},{"family":"Aloy","given":"Patrick"},{"family":"De Las Rivas","given":"Javier"},{"family":"Tavernier","given":"Jan"},{"family":"Calderwood","given":"Michael A."},{"family":"Hill","given":"David E."},{"family":"Hao","given":"Tong"},{"family":"Roth","given":"Frederick P."},{"family":"Vidal","given":"Marc"}],"issued":{"date-parts":[["2014",11]]}},"label":"page"},{"id":79,"uris":["http://zotero.org/users/15615967/items/AV46HTSP"],"itemData":{"id":79,"type":"article-journal","container-title":"Nature","DOI":"10.1038/s41586-020-2188-x","ISSN":"0028-0836, 1476-4687","issue":"7803","journalAbbreviation":"Nature","language":"en","page":"402-408","source":"DOI.org (Crossref)","title":"A reference map of the human binary protein interactome","volume":"580","author":[{"family":"Luck","given":"Katja"},{"family":"Kim","given":"Dae-Kyum"},{"family":"Lambourne","given":"Luke"},{"family":"Spirohn","given":"Kerstin"},{"family":"Begg","given":"Bridget E."},{"family":"Bian","given":"Wenting"},{"family":"Brignall","given":"Ruth"},{"family":"Cafarelli","given":"Tiziana"},{"family":"Campos-Laborie","given":"Francisco J."},{"family":"Charloteaux","given":"Benoit"},{"family":"Choi","given":"Dongsic"},{"family":"Coté","given":"Atina G."},{"family":"Daley","given":"Meaghan"},{"family":"Deimling","given":"Steven"},{"family":"Desbuleux","given":"Alice"},{"family":"Dricot","given":"Amélie"},{"family":"Gebbia","given":"Marinella"},{"family":"Hardy","given":"Madeleine F."},{"family":"Kishore","given":"Nishka"},{"family":"Knapp","given":"Jennifer J."},{"family":"Kovács","given":"István A."},{"family":"Lemmens","given":"Irma"},{"family":"Mee","given":"Miles W."},{"family":"Mellor","given":"Joseph C."},{"family":"Pollis","given":"Carl"},{"family":"Pons","given":"Carles"},{"family":"Richardson","given":"Aaron D."},{"family":"Schlabach","given":"Sadie"},{"family":"Teeking","given":"Bridget"},{"family":"Yadav","given":"Anupama"},{"family":"Babor","given":"Mariana"},{"family":"Balcha","given":"Dawit"},{"family":"Basha","given":"Omer"},{"family":"Bowman-Colin","given":"Christian"},{"family":"Chin","given":"Suet-Feung"},{"family":"Choi","given":"Soon Gang"},{"family":"Colabella","given":"Claudia"},{"family":"Coppin","given":"Georges"},{"family":"D’Amata","given":"Cassandra"},{"family":"De Ridder","given":"David"},{"family":"De Rouck","given":"Steffi"},{"family":"Duran-Frigola","given":"Miquel"},{"family":"Ennajdaoui","given":"Hanane"},{"family":"Goebels","given":"Florian"},{"family":"Goehring","given":"Liana"},{"family":"Gopal","given":"Anjali"},{"family":"Haddad","given":"Ghazal"},{"family":"Hatchi","given":"Elodie"},{"family":"Helmy","given":"Mohamed"},{"family":"Jacob","given":"Yves"},{"family":"Kassa","given":"Yoseph"},{"family":"Landini","given":"Serena"},{"family":"Li","given":"Roujia"},{"family":"Van Lieshout","given":"Natascha"},{"family":"MacWilliams","given":"Andrew"},{"family":"Markey","given":"Dylan"},{"family":"Paulson","given":"Joseph N."},{"family":"Rangarajan","given":"Sudharshan"},{"family":"Rasla","given":"John"},{"family":"Rayhan","given":"Ashyad"},{"family":"Rolland","given":"Thomas"},{"family":"San-Miguel","given":"Adriana"},{"family":"Shen","given":"Yun"},{"family":"Sheykhkarimli","given":"Dayag"},{"family":"Sheynkman","given":"Gloria M."},{"family":"Simonovsky","given":"Eyal"},{"family":"Taşan","given":"Murat"},{"family":"Tejeda","given":"Alexander"},{"family":"Tropepe","given":"Vincent"},{"family":"Twizere","given":"Jean-Claude"},{"family":"Wang","given":"Yang"},{"family":"Weatheritt","given":"Robert J."},{"family":"Weile","given":"Jochen"},{"family":"Xia","given":"Yu"},{"family":"Yang","given":"Xinping"},{"family":"Yeger-Lotem","given":"Esti"},{"family":"Zhong","given":"Quan"},{"family":"Aloy","given":"Patrick"},{"family":"Bader","given":"Gary D."},{"family":"De Las Rivas","given":"Javier"},{"family":"Gaudet","given":"Suzanne"},{"family":"Hao","given":"Tong"},{"family":"Rak","given":"Janusz"},{"family":"Tavernier","given":"Jan"},{"family":"Hill","given":"David E."},{"family":"Vidal","given":"Marc"},{"family":"Roth","given":"Frederick P."},{"family":"Calderwood","given":"Michael A."}],"issued":{"date-parts":[["2020",4,16]]}},"label":"page"}],"schema":"https://github.com/citation-style-language/schema/raw/master/csl-citation.json"} </w:instrText>
      </w:r>
      <w:r w:rsidRPr="00490428">
        <w:rPr>
          <w:rFonts w:cstheme="minorHAnsi"/>
          <w:sz w:val="24"/>
          <w:szCs w:val="24"/>
          <w:lang w:val="en-US"/>
        </w:rPr>
        <w:fldChar w:fldCharType="separate"/>
      </w:r>
      <w:r w:rsidRPr="00F47D79">
        <w:rPr>
          <w:rFonts w:ascii="Calibri" w:hAnsi="Calibri" w:cs="Calibri"/>
          <w:sz w:val="24"/>
          <w:szCs w:val="24"/>
          <w:lang w:val="en-US"/>
        </w:rPr>
        <w:t>(Janeway and Medzhitov, 2002; Paz-y-Mino Cepeda et al., 2005; Khor and Hibberd, 2012; Rolland et al., 2014; Walker et al., 2015; Mozzi et al., 2018; Amato et al., 2019; Horwood et al., 2019; Rotival, 2019; Luck et al., 2020; Nahon and Cobat, 2020; Paz-y-Miño et al., 2021; Paz y Miño Cepeda, 2024)</w:t>
      </w:r>
      <w:r w:rsidRPr="00490428">
        <w:rPr>
          <w:rFonts w:cstheme="minorHAnsi"/>
          <w:sz w:val="24"/>
          <w:szCs w:val="24"/>
          <w:lang w:val="en-US"/>
        </w:rPr>
        <w:fldChar w:fldCharType="end"/>
      </w:r>
    </w:p>
    <w:tbl>
      <w:tblPr>
        <w:tblStyle w:val="Mdeck5tablebodythreelines"/>
        <w:tblW w:w="0" w:type="auto"/>
        <w:tblLook w:val="04A0" w:firstRow="1" w:lastRow="0" w:firstColumn="1" w:lastColumn="0" w:noHBand="0" w:noVBand="1"/>
      </w:tblPr>
      <w:tblGrid>
        <w:gridCol w:w="3514"/>
        <w:gridCol w:w="5324"/>
      </w:tblGrid>
      <w:tr w:rsidR="00F47D79" w:rsidRPr="00F47D79" w14:paraId="066C36E7" w14:textId="77777777" w:rsidTr="001E411D">
        <w:trPr>
          <w:cnfStyle w:val="100000000000" w:firstRow="1" w:lastRow="0" w:firstColumn="0" w:lastColumn="0" w:oddVBand="0" w:evenVBand="0" w:oddHBand="0" w:evenHBand="0" w:firstRowFirstColumn="0" w:firstRowLastColumn="0" w:lastRowFirstColumn="0" w:lastRowLastColumn="0"/>
          <w:tblHeader/>
        </w:trPr>
        <w:tc>
          <w:tcPr>
            <w:tcW w:w="3681" w:type="dxa"/>
          </w:tcPr>
          <w:p w14:paraId="7CFAD6BA" w14:textId="77777777" w:rsidR="00F47D79" w:rsidRPr="00490428" w:rsidRDefault="00F47D79" w:rsidP="001E411D">
            <w:pPr>
              <w:spacing w:line="240" w:lineRule="auto"/>
              <w:rPr>
                <w:rFonts w:cstheme="minorHAnsi"/>
                <w:b/>
                <w:bCs/>
                <w:sz w:val="24"/>
                <w:lang w:val="en-US"/>
              </w:rPr>
            </w:pPr>
            <w:r w:rsidRPr="00490428">
              <w:rPr>
                <w:rFonts w:asciiTheme="minorHAnsi" w:hAnsiTheme="minorHAnsi" w:cstheme="minorHAnsi"/>
                <w:b/>
                <w:bCs/>
                <w:sz w:val="24"/>
                <w:lang w:val="en-US"/>
              </w:rPr>
              <w:t>Category</w:t>
            </w:r>
          </w:p>
        </w:tc>
        <w:tc>
          <w:tcPr>
            <w:tcW w:w="5669" w:type="dxa"/>
          </w:tcPr>
          <w:p w14:paraId="3E0CA6EA" w14:textId="77777777" w:rsidR="00F47D79" w:rsidRPr="00490428" w:rsidRDefault="00F47D79" w:rsidP="001E411D">
            <w:pPr>
              <w:spacing w:line="240" w:lineRule="auto"/>
              <w:rPr>
                <w:rFonts w:cstheme="minorHAnsi"/>
                <w:b/>
                <w:bCs/>
                <w:sz w:val="24"/>
                <w:lang w:val="en-US"/>
              </w:rPr>
            </w:pPr>
            <w:r w:rsidRPr="00490428">
              <w:rPr>
                <w:rFonts w:asciiTheme="minorHAnsi" w:hAnsiTheme="minorHAnsi" w:cstheme="minorHAnsi"/>
                <w:b/>
                <w:bCs/>
                <w:sz w:val="24"/>
                <w:lang w:val="en-US"/>
              </w:rPr>
              <w:t>Description</w:t>
            </w:r>
          </w:p>
        </w:tc>
      </w:tr>
      <w:tr w:rsidR="00F47D79" w:rsidRPr="00F47D79" w14:paraId="1CD832BB" w14:textId="77777777" w:rsidTr="001E411D">
        <w:tc>
          <w:tcPr>
            <w:tcW w:w="3681" w:type="dxa"/>
            <w:hideMark/>
          </w:tcPr>
          <w:p w14:paraId="0082F1DF"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Immune system genes</w:t>
            </w:r>
          </w:p>
          <w:p w14:paraId="3A85A319" w14:textId="77777777" w:rsidR="00F47D79" w:rsidRPr="00490428" w:rsidRDefault="00F47D79" w:rsidP="001E411D">
            <w:pPr>
              <w:spacing w:line="240" w:lineRule="auto"/>
              <w:jc w:val="left"/>
              <w:rPr>
                <w:rFonts w:asciiTheme="minorHAnsi" w:hAnsiTheme="minorHAnsi" w:cstheme="minorHAnsi"/>
                <w:b/>
                <w:bCs/>
                <w:lang w:val="en-US"/>
              </w:rPr>
            </w:pPr>
          </w:p>
        </w:tc>
        <w:tc>
          <w:tcPr>
            <w:tcW w:w="5669" w:type="dxa"/>
            <w:hideMark/>
          </w:tcPr>
          <w:p w14:paraId="33CEBA92"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Genes such as the T-cell receptor (TCR), the B-cell receptor gene (BCR), the major histocompatibility complex (MHC) gene and genes encoding cytokines (immune system signaling molecules).</w:t>
            </w:r>
          </w:p>
        </w:tc>
      </w:tr>
      <w:tr w:rsidR="00F47D79" w:rsidRPr="00F47D79" w14:paraId="4CE02D3B" w14:textId="77777777" w:rsidTr="001E411D">
        <w:tc>
          <w:tcPr>
            <w:tcW w:w="3681" w:type="dxa"/>
            <w:hideMark/>
          </w:tcPr>
          <w:p w14:paraId="2D1EF28C"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Innate inflammatory response genes </w:t>
            </w:r>
          </w:p>
        </w:tc>
        <w:tc>
          <w:tcPr>
            <w:tcW w:w="5669" w:type="dxa"/>
            <w:hideMark/>
          </w:tcPr>
          <w:p w14:paraId="174BAAB2"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Genes involved in the production of proinflammatory molecules, such as interleukins IL6 and IL8, tumor necrosis factor alpha (TNF-α) and chemokines. </w:t>
            </w:r>
          </w:p>
        </w:tc>
      </w:tr>
      <w:tr w:rsidR="00F47D79" w:rsidRPr="00F47D79" w14:paraId="2D046450" w14:textId="77777777" w:rsidTr="001E411D">
        <w:tc>
          <w:tcPr>
            <w:tcW w:w="3681" w:type="dxa"/>
            <w:hideMark/>
          </w:tcPr>
          <w:p w14:paraId="4F33FD9C"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Pathogen recognition genes </w:t>
            </w:r>
          </w:p>
        </w:tc>
        <w:tc>
          <w:tcPr>
            <w:tcW w:w="5669" w:type="dxa"/>
            <w:hideMark/>
          </w:tcPr>
          <w:p w14:paraId="189526F6"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Genes such as Toll-like receptors (TLRs), NOD-like receptors (NLRs) and lectin receptors influence resistance or susceptibility to infection by modulating the recognition and activation capacity of the immune system.</w:t>
            </w:r>
          </w:p>
        </w:tc>
      </w:tr>
      <w:tr w:rsidR="00F47D79" w:rsidRPr="00F47D79" w14:paraId="5E26B49F" w14:textId="77777777" w:rsidTr="001E411D">
        <w:tc>
          <w:tcPr>
            <w:tcW w:w="3681" w:type="dxa"/>
            <w:hideMark/>
          </w:tcPr>
          <w:p w14:paraId="1C892CB4"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Inflammatory response genes </w:t>
            </w:r>
          </w:p>
        </w:tc>
        <w:tc>
          <w:tcPr>
            <w:tcW w:w="5669" w:type="dxa"/>
            <w:hideMark/>
          </w:tcPr>
          <w:p w14:paraId="5584AE7C"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Genes such as tumor necrosis factor alpha </w:t>
            </w:r>
            <w:r w:rsidRPr="00490428">
              <w:rPr>
                <w:rFonts w:asciiTheme="minorHAnsi" w:hAnsiTheme="minorHAnsi" w:cstheme="minorHAnsi"/>
                <w:i/>
                <w:iCs/>
                <w:lang w:val="en-US"/>
              </w:rPr>
              <w:t>(TNF-α</w:t>
            </w:r>
            <w:r w:rsidRPr="00490428">
              <w:rPr>
                <w:rFonts w:asciiTheme="minorHAnsi" w:hAnsiTheme="minorHAnsi" w:cstheme="minorHAnsi"/>
                <w:lang w:val="en-US"/>
              </w:rPr>
              <w:t>) and the interleukin 1 beta (</w:t>
            </w:r>
            <w:r w:rsidRPr="00490428">
              <w:rPr>
                <w:rFonts w:asciiTheme="minorHAnsi" w:hAnsiTheme="minorHAnsi" w:cstheme="minorHAnsi"/>
                <w:i/>
                <w:iCs/>
                <w:lang w:val="en-US"/>
              </w:rPr>
              <w:t>IL1β</w:t>
            </w:r>
            <w:r w:rsidRPr="00490428">
              <w:rPr>
                <w:rFonts w:asciiTheme="minorHAnsi" w:hAnsiTheme="minorHAnsi" w:cstheme="minorHAnsi"/>
                <w:lang w:val="en-US"/>
              </w:rPr>
              <w:t>) gene influence susceptibility to infection and disease severity.</w:t>
            </w:r>
          </w:p>
        </w:tc>
      </w:tr>
      <w:tr w:rsidR="00F47D79" w:rsidRPr="00F47D79" w14:paraId="1D72969E" w14:textId="77777777" w:rsidTr="001E411D">
        <w:tc>
          <w:tcPr>
            <w:tcW w:w="3681" w:type="dxa"/>
            <w:hideMark/>
          </w:tcPr>
          <w:p w14:paraId="0DEC0EFB"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Antiviral response genes </w:t>
            </w:r>
          </w:p>
        </w:tc>
        <w:tc>
          <w:tcPr>
            <w:tcW w:w="5669" w:type="dxa"/>
            <w:hideMark/>
          </w:tcPr>
          <w:p w14:paraId="34077725"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Genes involved in the antiviral response, such as interferons and viral restriction factors, influence the body's ability to resist viral infections.</w:t>
            </w:r>
          </w:p>
        </w:tc>
      </w:tr>
      <w:tr w:rsidR="00F47D79" w:rsidRPr="00F47D79" w14:paraId="488632D9" w14:textId="77777777" w:rsidTr="001E411D">
        <w:tc>
          <w:tcPr>
            <w:tcW w:w="3681" w:type="dxa"/>
            <w:hideMark/>
          </w:tcPr>
          <w:p w14:paraId="5008EC83"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Phagocytosis and pathogen destruction genes. </w:t>
            </w:r>
          </w:p>
        </w:tc>
        <w:tc>
          <w:tcPr>
            <w:tcW w:w="5669" w:type="dxa"/>
            <w:hideMark/>
          </w:tcPr>
          <w:p w14:paraId="01663184"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Pattern recognition receptor genes (PRRs) and genes encoding bactericidal enzymes can influence the organism's ability to eliminate pathogens and determine resistance to infection.</w:t>
            </w:r>
          </w:p>
        </w:tc>
      </w:tr>
      <w:tr w:rsidR="00F47D79" w:rsidRPr="00F47D79" w14:paraId="4FEA2790" w14:textId="77777777" w:rsidTr="001E411D">
        <w:tc>
          <w:tcPr>
            <w:tcW w:w="3681" w:type="dxa"/>
            <w:hideMark/>
          </w:tcPr>
          <w:p w14:paraId="5F599AE1"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Complement system genes </w:t>
            </w:r>
          </w:p>
        </w:tc>
        <w:tc>
          <w:tcPr>
            <w:tcW w:w="5669" w:type="dxa"/>
            <w:hideMark/>
          </w:tcPr>
          <w:p w14:paraId="0B978C33"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Genes involved in the complement pathway, such as the C3, C4 and C5 genes, can influence the body's ability to fight bacterial and viral infections.</w:t>
            </w:r>
          </w:p>
        </w:tc>
      </w:tr>
      <w:tr w:rsidR="00F47D79" w:rsidRPr="00F47D79" w14:paraId="23B805F6" w14:textId="77777777" w:rsidTr="001E411D">
        <w:tc>
          <w:tcPr>
            <w:tcW w:w="3681" w:type="dxa"/>
            <w:hideMark/>
          </w:tcPr>
          <w:p w14:paraId="64FCB180"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Genes related to adaptive cellular response </w:t>
            </w:r>
          </w:p>
        </w:tc>
        <w:tc>
          <w:tcPr>
            <w:tcW w:w="5669" w:type="dxa"/>
            <w:hideMark/>
          </w:tcPr>
          <w:p w14:paraId="4D3274CF"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Genes involved in the differentiation and activation of T cells and B cells, such as human histocompatibility complex (HLA) genes and immunoglobulin genes, can influence the body's ability to recognize and eliminate pathogens and resistance to infection.</w:t>
            </w:r>
          </w:p>
        </w:tc>
      </w:tr>
      <w:tr w:rsidR="00F47D79" w:rsidRPr="00F47D79" w14:paraId="450352B4" w14:textId="77777777" w:rsidTr="001E411D">
        <w:tc>
          <w:tcPr>
            <w:tcW w:w="3681" w:type="dxa"/>
            <w:hideMark/>
          </w:tcPr>
          <w:p w14:paraId="65C98342"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Mucosal barrier genes </w:t>
            </w:r>
          </w:p>
        </w:tc>
        <w:tc>
          <w:tcPr>
            <w:tcW w:w="5669" w:type="dxa"/>
            <w:hideMark/>
          </w:tcPr>
          <w:p w14:paraId="7EBD7375"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Genes involved in the production of mucins, antimicrobial proteins and other components of the mucosal barrier may influence resistance to infection in tissues such as the gastrointestinal, respiratory and genitourinary tract.</w:t>
            </w:r>
          </w:p>
        </w:tc>
      </w:tr>
      <w:tr w:rsidR="00F47D79" w:rsidRPr="00F47D79" w14:paraId="65E52422" w14:textId="77777777" w:rsidTr="001E411D">
        <w:tc>
          <w:tcPr>
            <w:tcW w:w="3681" w:type="dxa"/>
            <w:hideMark/>
          </w:tcPr>
          <w:p w14:paraId="2B889F54"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Interferon system genes </w:t>
            </w:r>
          </w:p>
        </w:tc>
        <w:tc>
          <w:tcPr>
            <w:tcW w:w="5669" w:type="dxa"/>
            <w:hideMark/>
          </w:tcPr>
          <w:p w14:paraId="33552E7C"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Genes involved in interferon production and response, such as </w:t>
            </w:r>
            <w:r w:rsidRPr="00490428">
              <w:rPr>
                <w:rFonts w:asciiTheme="minorHAnsi" w:hAnsiTheme="minorHAnsi" w:cstheme="minorHAnsi"/>
                <w:i/>
                <w:iCs/>
                <w:lang w:val="en-US"/>
              </w:rPr>
              <w:t>IFN-α</w:t>
            </w:r>
            <w:r w:rsidRPr="00490428">
              <w:rPr>
                <w:rFonts w:asciiTheme="minorHAnsi" w:hAnsiTheme="minorHAnsi" w:cstheme="minorHAnsi"/>
                <w:lang w:val="en-US"/>
              </w:rPr>
              <w:t xml:space="preserve">, </w:t>
            </w:r>
            <w:r w:rsidRPr="00490428">
              <w:rPr>
                <w:rFonts w:asciiTheme="minorHAnsi" w:hAnsiTheme="minorHAnsi" w:cstheme="minorHAnsi"/>
                <w:i/>
                <w:iCs/>
                <w:lang w:val="en-US"/>
              </w:rPr>
              <w:t xml:space="preserve">IFN-β </w:t>
            </w:r>
            <w:r w:rsidRPr="00490428">
              <w:rPr>
                <w:rFonts w:asciiTheme="minorHAnsi" w:hAnsiTheme="minorHAnsi" w:cstheme="minorHAnsi"/>
                <w:lang w:val="en-US"/>
              </w:rPr>
              <w:t xml:space="preserve">and </w:t>
            </w:r>
            <w:r w:rsidRPr="00490428">
              <w:rPr>
                <w:rFonts w:asciiTheme="minorHAnsi" w:hAnsiTheme="minorHAnsi" w:cstheme="minorHAnsi"/>
                <w:i/>
                <w:iCs/>
                <w:lang w:val="en-US"/>
              </w:rPr>
              <w:t xml:space="preserve">IFN-γ </w:t>
            </w:r>
            <w:r w:rsidRPr="00490428">
              <w:rPr>
                <w:rFonts w:asciiTheme="minorHAnsi" w:hAnsiTheme="minorHAnsi" w:cstheme="minorHAnsi"/>
                <w:lang w:val="en-US"/>
              </w:rPr>
              <w:t>genes, can influence the body's ability to fight viral infections.</w:t>
            </w:r>
          </w:p>
        </w:tc>
      </w:tr>
      <w:tr w:rsidR="00F47D79" w:rsidRPr="00F47D79" w14:paraId="42962A02" w14:textId="77777777" w:rsidTr="001E411D">
        <w:tc>
          <w:tcPr>
            <w:tcW w:w="3681" w:type="dxa"/>
            <w:hideMark/>
          </w:tcPr>
          <w:p w14:paraId="22A82B6F"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Genes regulating the immune response. </w:t>
            </w:r>
          </w:p>
        </w:tc>
        <w:tc>
          <w:tcPr>
            <w:tcW w:w="5669" w:type="dxa"/>
            <w:hideMark/>
          </w:tcPr>
          <w:p w14:paraId="2896F733"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Genes involved in the regulation of the immune response, such as genes of the HLA system, T-cell regulatory genes (such as </w:t>
            </w:r>
            <w:r w:rsidRPr="00490428">
              <w:rPr>
                <w:rFonts w:asciiTheme="minorHAnsi" w:hAnsiTheme="minorHAnsi" w:cstheme="minorHAnsi"/>
                <w:i/>
                <w:iCs/>
                <w:lang w:val="en-US"/>
              </w:rPr>
              <w:t xml:space="preserve">CTLA4 </w:t>
            </w:r>
            <w:r w:rsidRPr="00490428">
              <w:rPr>
                <w:rFonts w:asciiTheme="minorHAnsi" w:hAnsiTheme="minorHAnsi" w:cstheme="minorHAnsi"/>
                <w:lang w:val="en-US"/>
              </w:rPr>
              <w:t xml:space="preserve">and </w:t>
            </w:r>
            <w:r w:rsidRPr="00490428">
              <w:rPr>
                <w:rFonts w:asciiTheme="minorHAnsi" w:hAnsiTheme="minorHAnsi" w:cstheme="minorHAnsi"/>
                <w:i/>
                <w:iCs/>
                <w:lang w:val="en-US"/>
              </w:rPr>
              <w:t>PDDC1</w:t>
            </w:r>
            <w:r w:rsidRPr="00490428">
              <w:rPr>
                <w:rFonts w:asciiTheme="minorHAnsi" w:hAnsiTheme="minorHAnsi" w:cstheme="minorHAnsi"/>
                <w:lang w:val="en-US"/>
              </w:rPr>
              <w:t>) and genes encoding proteins that inhibit inflammatory signaling, influence susceptibility to infections and the development of autoimmune diseases.</w:t>
            </w:r>
          </w:p>
        </w:tc>
      </w:tr>
      <w:tr w:rsidR="00F47D79" w:rsidRPr="00F47D79" w14:paraId="0C4B90DF" w14:textId="77777777" w:rsidTr="001E411D">
        <w:tc>
          <w:tcPr>
            <w:tcW w:w="3681" w:type="dxa"/>
            <w:hideMark/>
          </w:tcPr>
          <w:p w14:paraId="15D65756"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Antimicrobial metabolism genes </w:t>
            </w:r>
          </w:p>
        </w:tc>
        <w:tc>
          <w:tcPr>
            <w:tcW w:w="5669" w:type="dxa"/>
            <w:hideMark/>
          </w:tcPr>
          <w:p w14:paraId="5AE13217"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Defensin genes and cathelicidins, for defense against pathogens. Defensins in humans: alpha, beta and theta, such as </w:t>
            </w:r>
            <w:r w:rsidRPr="00490428">
              <w:rPr>
                <w:rFonts w:asciiTheme="minorHAnsi" w:hAnsiTheme="minorHAnsi" w:cstheme="minorHAnsi"/>
                <w:i/>
                <w:iCs/>
                <w:lang w:val="en-US"/>
              </w:rPr>
              <w:t>DEFA1</w:t>
            </w:r>
            <w:r w:rsidRPr="00490428">
              <w:rPr>
                <w:rFonts w:asciiTheme="minorHAnsi" w:hAnsiTheme="minorHAnsi" w:cstheme="minorHAnsi"/>
                <w:lang w:val="en-US"/>
              </w:rPr>
              <w:t xml:space="preserve">, </w:t>
            </w:r>
            <w:r w:rsidRPr="00490428">
              <w:rPr>
                <w:rFonts w:asciiTheme="minorHAnsi" w:hAnsiTheme="minorHAnsi" w:cstheme="minorHAnsi"/>
                <w:i/>
                <w:iCs/>
                <w:lang w:val="en-US"/>
              </w:rPr>
              <w:t>DEFA2</w:t>
            </w:r>
            <w:r w:rsidRPr="00490428">
              <w:rPr>
                <w:rFonts w:asciiTheme="minorHAnsi" w:hAnsiTheme="minorHAnsi" w:cstheme="minorHAnsi"/>
                <w:lang w:val="en-US"/>
              </w:rPr>
              <w:t xml:space="preserve">, </w:t>
            </w:r>
            <w:r w:rsidRPr="00490428">
              <w:rPr>
                <w:rFonts w:asciiTheme="minorHAnsi" w:hAnsiTheme="minorHAnsi" w:cstheme="minorHAnsi"/>
                <w:i/>
                <w:iCs/>
                <w:lang w:val="en-US"/>
              </w:rPr>
              <w:t>DEFA3</w:t>
            </w:r>
            <w:r w:rsidRPr="00490428">
              <w:rPr>
                <w:rFonts w:asciiTheme="minorHAnsi" w:hAnsiTheme="minorHAnsi" w:cstheme="minorHAnsi"/>
                <w:lang w:val="en-US"/>
              </w:rPr>
              <w:t xml:space="preserve">, </w:t>
            </w:r>
            <w:r w:rsidRPr="00490428">
              <w:rPr>
                <w:rFonts w:asciiTheme="minorHAnsi" w:hAnsiTheme="minorHAnsi" w:cstheme="minorHAnsi"/>
                <w:i/>
                <w:iCs/>
                <w:lang w:val="en-US"/>
              </w:rPr>
              <w:t>DEFB1</w:t>
            </w:r>
            <w:r w:rsidRPr="00490428">
              <w:rPr>
                <w:rFonts w:asciiTheme="minorHAnsi" w:hAnsiTheme="minorHAnsi" w:cstheme="minorHAnsi"/>
                <w:lang w:val="en-US"/>
              </w:rPr>
              <w:t xml:space="preserve">, </w:t>
            </w:r>
            <w:r w:rsidRPr="00490428">
              <w:rPr>
                <w:rFonts w:asciiTheme="minorHAnsi" w:hAnsiTheme="minorHAnsi" w:cstheme="minorHAnsi"/>
                <w:i/>
                <w:iCs/>
                <w:lang w:val="en-US"/>
              </w:rPr>
              <w:t>DEFB4</w:t>
            </w:r>
            <w:r w:rsidRPr="00490428">
              <w:rPr>
                <w:rFonts w:asciiTheme="minorHAnsi" w:hAnsiTheme="minorHAnsi" w:cstheme="minorHAnsi"/>
                <w:lang w:val="en-US"/>
              </w:rPr>
              <w:t xml:space="preserve">, </w:t>
            </w:r>
            <w:r w:rsidRPr="00490428">
              <w:rPr>
                <w:rFonts w:asciiTheme="minorHAnsi" w:hAnsiTheme="minorHAnsi" w:cstheme="minorHAnsi"/>
                <w:i/>
                <w:iCs/>
                <w:lang w:val="en-US"/>
              </w:rPr>
              <w:t>DEFB103</w:t>
            </w:r>
            <w:r w:rsidRPr="00490428">
              <w:rPr>
                <w:rFonts w:asciiTheme="minorHAnsi" w:hAnsiTheme="minorHAnsi" w:cstheme="minorHAnsi"/>
                <w:lang w:val="en-US"/>
              </w:rPr>
              <w:t>, encode precursor proteins of defensins.</w:t>
            </w:r>
          </w:p>
        </w:tc>
      </w:tr>
      <w:tr w:rsidR="00F47D79" w:rsidRPr="00F47D79" w14:paraId="615322C3" w14:textId="77777777" w:rsidTr="001E411D">
        <w:tc>
          <w:tcPr>
            <w:tcW w:w="3681" w:type="dxa"/>
            <w:hideMark/>
          </w:tcPr>
          <w:p w14:paraId="4A017FCC"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Genes of the major histocompatibility complex II (MHC II) system. </w:t>
            </w:r>
          </w:p>
        </w:tc>
        <w:tc>
          <w:tcPr>
            <w:tcW w:w="5669" w:type="dxa"/>
            <w:hideMark/>
          </w:tcPr>
          <w:p w14:paraId="36908535"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MHC II genes, such as the HLA-DR, HLA-DP and HLA-DQ genes, are associated with susceptibility or resistance to infectious diseases.</w:t>
            </w:r>
          </w:p>
        </w:tc>
      </w:tr>
      <w:tr w:rsidR="00F47D79" w:rsidRPr="00E62B4F" w14:paraId="180F6A1E" w14:textId="77777777" w:rsidTr="001E411D">
        <w:tc>
          <w:tcPr>
            <w:tcW w:w="3681" w:type="dxa"/>
            <w:hideMark/>
          </w:tcPr>
          <w:p w14:paraId="4D696AE1"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Genes related to the T-cell-mediated inflammatory response </w:t>
            </w:r>
          </w:p>
        </w:tc>
        <w:tc>
          <w:tcPr>
            <w:tcW w:w="5669" w:type="dxa"/>
            <w:hideMark/>
          </w:tcPr>
          <w:p w14:paraId="603623FC"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Genes involved in T-cell activation and function, such as CD4 and CD8 genes, cytokine genes (e.g. </w:t>
            </w:r>
            <w:r w:rsidRPr="00490428">
              <w:rPr>
                <w:rFonts w:asciiTheme="minorHAnsi" w:hAnsiTheme="minorHAnsi" w:cstheme="minorHAnsi"/>
                <w:i/>
                <w:iCs/>
                <w:lang w:val="en-US"/>
              </w:rPr>
              <w:t>IL2</w:t>
            </w:r>
            <w:r w:rsidRPr="00490428">
              <w:rPr>
                <w:rFonts w:asciiTheme="minorHAnsi" w:hAnsiTheme="minorHAnsi" w:cstheme="minorHAnsi"/>
                <w:lang w:val="en-US"/>
              </w:rPr>
              <w:t xml:space="preserve">, </w:t>
            </w:r>
            <w:r w:rsidRPr="00490428">
              <w:rPr>
                <w:rFonts w:asciiTheme="minorHAnsi" w:hAnsiTheme="minorHAnsi" w:cstheme="minorHAnsi"/>
                <w:i/>
                <w:iCs/>
                <w:lang w:val="en-US"/>
              </w:rPr>
              <w:t>IL12</w:t>
            </w:r>
            <w:r w:rsidRPr="00490428">
              <w:rPr>
                <w:rFonts w:asciiTheme="minorHAnsi" w:hAnsiTheme="minorHAnsi" w:cstheme="minorHAnsi"/>
                <w:lang w:val="en-US"/>
              </w:rPr>
              <w:t>) and T-cell receptor (TCR) genes.</w:t>
            </w:r>
          </w:p>
        </w:tc>
      </w:tr>
      <w:tr w:rsidR="00F47D79" w:rsidRPr="00F47D79" w14:paraId="36731456" w14:textId="77777777" w:rsidTr="001E411D">
        <w:tc>
          <w:tcPr>
            <w:tcW w:w="3681" w:type="dxa"/>
            <w:hideMark/>
          </w:tcPr>
          <w:p w14:paraId="2266C622"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Genes related to B cell-mediated inflammatory response. </w:t>
            </w:r>
          </w:p>
        </w:tc>
        <w:tc>
          <w:tcPr>
            <w:tcW w:w="5669" w:type="dxa"/>
            <w:hideMark/>
          </w:tcPr>
          <w:p w14:paraId="5BCBD9E5"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Genes involved in B-cell activation and function, such as immunoglobulin genes (IgM, IgG, IgA) and B-cell co-receptor genes </w:t>
            </w:r>
            <w:r w:rsidRPr="00490428">
              <w:rPr>
                <w:rFonts w:asciiTheme="minorHAnsi" w:hAnsiTheme="minorHAnsi" w:cstheme="minorHAnsi"/>
                <w:i/>
                <w:iCs/>
                <w:lang w:val="en-US"/>
              </w:rPr>
              <w:t>(CD19</w:t>
            </w:r>
            <w:r w:rsidRPr="00490428">
              <w:rPr>
                <w:rFonts w:asciiTheme="minorHAnsi" w:hAnsiTheme="minorHAnsi" w:cstheme="minorHAnsi"/>
                <w:lang w:val="en-US"/>
              </w:rPr>
              <w:t xml:space="preserve">, </w:t>
            </w:r>
            <w:r w:rsidRPr="00490428">
              <w:rPr>
                <w:rFonts w:asciiTheme="minorHAnsi" w:hAnsiTheme="minorHAnsi" w:cstheme="minorHAnsi"/>
                <w:i/>
                <w:iCs/>
                <w:lang w:val="en-US"/>
              </w:rPr>
              <w:t>CD20</w:t>
            </w:r>
            <w:r w:rsidRPr="00490428">
              <w:rPr>
                <w:rFonts w:asciiTheme="minorHAnsi" w:hAnsiTheme="minorHAnsi" w:cstheme="minorHAnsi"/>
                <w:lang w:val="en-US"/>
              </w:rPr>
              <w:t>).</w:t>
            </w:r>
          </w:p>
        </w:tc>
      </w:tr>
      <w:tr w:rsidR="00F47D79" w:rsidRPr="00F47D79" w14:paraId="22D362B5" w14:textId="77777777" w:rsidTr="001E411D">
        <w:tc>
          <w:tcPr>
            <w:tcW w:w="3681" w:type="dxa"/>
            <w:hideMark/>
          </w:tcPr>
          <w:p w14:paraId="77E00187"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Genes related to the antiparasitic response </w:t>
            </w:r>
          </w:p>
        </w:tc>
        <w:tc>
          <w:tcPr>
            <w:tcW w:w="5669" w:type="dxa"/>
            <w:hideMark/>
          </w:tcPr>
          <w:p w14:paraId="67A79386"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Genes of the initial antiparasitic response. Genes of eosinophil effector proteins, endothelial cell adhesion molecules and cytokine genes (</w:t>
            </w:r>
            <w:r w:rsidRPr="00490428">
              <w:rPr>
                <w:rFonts w:asciiTheme="minorHAnsi" w:hAnsiTheme="minorHAnsi" w:cstheme="minorHAnsi"/>
                <w:i/>
                <w:iCs/>
                <w:lang w:val="en-US"/>
              </w:rPr>
              <w:t>IL4</w:t>
            </w:r>
            <w:r w:rsidRPr="00490428">
              <w:rPr>
                <w:rFonts w:asciiTheme="minorHAnsi" w:hAnsiTheme="minorHAnsi" w:cstheme="minorHAnsi"/>
                <w:lang w:val="en-US"/>
              </w:rPr>
              <w:t xml:space="preserve">, </w:t>
            </w:r>
            <w:r w:rsidRPr="00490428">
              <w:rPr>
                <w:rFonts w:asciiTheme="minorHAnsi" w:hAnsiTheme="minorHAnsi" w:cstheme="minorHAnsi"/>
                <w:i/>
                <w:iCs/>
                <w:lang w:val="en-US"/>
              </w:rPr>
              <w:t>IL5</w:t>
            </w:r>
            <w:r w:rsidRPr="00490428">
              <w:rPr>
                <w:rFonts w:asciiTheme="minorHAnsi" w:hAnsiTheme="minorHAnsi" w:cstheme="minorHAnsi"/>
                <w:lang w:val="en-US"/>
              </w:rPr>
              <w:t xml:space="preserve">, </w:t>
            </w:r>
            <w:r w:rsidRPr="00490428">
              <w:rPr>
                <w:rFonts w:asciiTheme="minorHAnsi" w:hAnsiTheme="minorHAnsi" w:cstheme="minorHAnsi"/>
                <w:i/>
                <w:iCs/>
                <w:lang w:val="en-US"/>
              </w:rPr>
              <w:t>IL13</w:t>
            </w:r>
            <w:r w:rsidRPr="00490428">
              <w:rPr>
                <w:rFonts w:asciiTheme="minorHAnsi" w:hAnsiTheme="minorHAnsi" w:cstheme="minorHAnsi"/>
                <w:lang w:val="en-US"/>
              </w:rPr>
              <w:t xml:space="preserve">). Natural killer (NK) cell genes associated with innate immune response and lysis of parasite-infected cells. </w:t>
            </w:r>
          </w:p>
        </w:tc>
      </w:tr>
      <w:tr w:rsidR="00F47D79" w:rsidRPr="00F47D79" w14:paraId="1C33F2E3" w14:textId="77777777" w:rsidTr="001E411D">
        <w:tc>
          <w:tcPr>
            <w:tcW w:w="3681" w:type="dxa"/>
            <w:hideMark/>
          </w:tcPr>
          <w:p w14:paraId="227E8A3B"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Antigen-specific T-cell receptor (TCR) genes </w:t>
            </w:r>
          </w:p>
        </w:tc>
        <w:tc>
          <w:tcPr>
            <w:tcW w:w="5669" w:type="dxa"/>
            <w:hideMark/>
          </w:tcPr>
          <w:p w14:paraId="6B89B00E"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Genes encoding the alpha and beta chains of the TCR for specificity of antigen recognition by T cells. </w:t>
            </w:r>
          </w:p>
        </w:tc>
      </w:tr>
      <w:tr w:rsidR="00F47D79" w:rsidRPr="00F47D79" w14:paraId="504F8D6B" w14:textId="77777777" w:rsidTr="001E411D">
        <w:tc>
          <w:tcPr>
            <w:tcW w:w="3681" w:type="dxa"/>
            <w:hideMark/>
          </w:tcPr>
          <w:p w14:paraId="0FF9B43A"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Toll-like receptor 4 genes (</w:t>
            </w:r>
            <w:r w:rsidRPr="00490428">
              <w:rPr>
                <w:rFonts w:asciiTheme="minorHAnsi" w:hAnsiTheme="minorHAnsi" w:cstheme="minorHAnsi"/>
                <w:b/>
                <w:bCs/>
                <w:i/>
                <w:iCs/>
                <w:lang w:val="en-US"/>
              </w:rPr>
              <w:t>TLR4</w:t>
            </w:r>
            <w:r w:rsidRPr="00490428">
              <w:rPr>
                <w:rFonts w:asciiTheme="minorHAnsi" w:hAnsiTheme="minorHAnsi" w:cstheme="minorHAnsi"/>
                <w:b/>
                <w:bCs/>
                <w:lang w:val="en-US"/>
              </w:rPr>
              <w:t xml:space="preserve">) </w:t>
            </w:r>
          </w:p>
        </w:tc>
        <w:tc>
          <w:tcPr>
            <w:tcW w:w="5669" w:type="dxa"/>
            <w:hideMark/>
          </w:tcPr>
          <w:p w14:paraId="7983CCAA"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TLR4</w:t>
            </w:r>
            <w:r w:rsidRPr="00490428">
              <w:rPr>
                <w:rFonts w:asciiTheme="minorHAnsi" w:hAnsiTheme="minorHAnsi" w:cstheme="minorHAnsi"/>
                <w:lang w:val="en-US"/>
              </w:rPr>
              <w:t xml:space="preserve">, a receptor for recognition and detection of bacterial lipopolysaccharide. Genetic variations in the </w:t>
            </w:r>
            <w:r w:rsidRPr="00490428">
              <w:rPr>
                <w:rFonts w:asciiTheme="minorHAnsi" w:hAnsiTheme="minorHAnsi" w:cstheme="minorHAnsi"/>
                <w:i/>
                <w:iCs/>
                <w:lang w:val="en-US"/>
              </w:rPr>
              <w:t xml:space="preserve">TLR4 </w:t>
            </w:r>
            <w:r w:rsidRPr="00490428">
              <w:rPr>
                <w:rFonts w:asciiTheme="minorHAnsi" w:hAnsiTheme="minorHAnsi" w:cstheme="minorHAnsi"/>
                <w:lang w:val="en-US"/>
              </w:rPr>
              <w:t>gene have been associated with susceptibility to bacterial infections, such as sepsis and periodontal disease.</w:t>
            </w:r>
          </w:p>
        </w:tc>
      </w:tr>
      <w:tr w:rsidR="00F47D79" w:rsidRPr="00F47D79" w14:paraId="2CF00C2E" w14:textId="77777777" w:rsidTr="001E411D">
        <w:tc>
          <w:tcPr>
            <w:tcW w:w="3681" w:type="dxa"/>
            <w:hideMark/>
          </w:tcPr>
          <w:p w14:paraId="16F11EDC"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NOD type 2 receptor genes (</w:t>
            </w:r>
            <w:r w:rsidRPr="00490428">
              <w:rPr>
                <w:rFonts w:asciiTheme="minorHAnsi" w:hAnsiTheme="minorHAnsi" w:cstheme="minorHAnsi"/>
                <w:b/>
                <w:bCs/>
                <w:i/>
                <w:iCs/>
                <w:lang w:val="en-US"/>
              </w:rPr>
              <w:t>NOD2</w:t>
            </w:r>
            <w:r w:rsidRPr="00490428">
              <w:rPr>
                <w:rFonts w:asciiTheme="minorHAnsi" w:hAnsiTheme="minorHAnsi" w:cstheme="minorHAnsi"/>
                <w:b/>
                <w:bCs/>
                <w:lang w:val="en-US"/>
              </w:rPr>
              <w:t xml:space="preserve">) </w:t>
            </w:r>
          </w:p>
        </w:tc>
        <w:tc>
          <w:tcPr>
            <w:tcW w:w="5669" w:type="dxa"/>
            <w:hideMark/>
          </w:tcPr>
          <w:p w14:paraId="3B39A15C"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 xml:space="preserve">NOD2 </w:t>
            </w:r>
            <w:r w:rsidRPr="00490428">
              <w:rPr>
                <w:rFonts w:asciiTheme="minorHAnsi" w:hAnsiTheme="minorHAnsi" w:cstheme="minorHAnsi"/>
                <w:lang w:val="en-US"/>
              </w:rPr>
              <w:t xml:space="preserve">is an intracellular receptor that recognizes bacterial fragments and triggers immune responses. Mutations in the </w:t>
            </w:r>
            <w:r w:rsidRPr="00490428">
              <w:rPr>
                <w:rFonts w:asciiTheme="minorHAnsi" w:hAnsiTheme="minorHAnsi" w:cstheme="minorHAnsi"/>
                <w:i/>
                <w:iCs/>
                <w:lang w:val="en-US"/>
              </w:rPr>
              <w:t xml:space="preserve">NOD2 </w:t>
            </w:r>
            <w:r w:rsidRPr="00490428">
              <w:rPr>
                <w:rFonts w:asciiTheme="minorHAnsi" w:hAnsiTheme="minorHAnsi" w:cstheme="minorHAnsi"/>
                <w:lang w:val="en-US"/>
              </w:rPr>
              <w:t>gene have been associated with Crohn's disease, a chronic inflammatory bowel disease characterized by increased susceptibility to bacterial infections.</w:t>
            </w:r>
          </w:p>
        </w:tc>
      </w:tr>
      <w:tr w:rsidR="00F47D79" w:rsidRPr="00F47D79" w14:paraId="17673E92" w14:textId="77777777" w:rsidTr="001E411D">
        <w:tc>
          <w:tcPr>
            <w:tcW w:w="3681" w:type="dxa"/>
            <w:hideMark/>
          </w:tcPr>
          <w:p w14:paraId="10101EAD"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CLEC4M-like receptor genes (</w:t>
            </w:r>
            <w:r w:rsidRPr="00490428">
              <w:rPr>
                <w:rFonts w:asciiTheme="minorHAnsi" w:hAnsiTheme="minorHAnsi" w:cstheme="minorHAnsi"/>
                <w:b/>
                <w:bCs/>
                <w:i/>
                <w:iCs/>
                <w:lang w:val="en-US"/>
              </w:rPr>
              <w:t>DC-SIGN</w:t>
            </w:r>
            <w:r w:rsidRPr="00490428">
              <w:rPr>
                <w:rFonts w:asciiTheme="minorHAnsi" w:hAnsiTheme="minorHAnsi" w:cstheme="minorHAnsi"/>
                <w:b/>
                <w:bCs/>
                <w:lang w:val="en-US"/>
              </w:rPr>
              <w:t xml:space="preserve">) </w:t>
            </w:r>
          </w:p>
        </w:tc>
        <w:tc>
          <w:tcPr>
            <w:tcW w:w="5669" w:type="dxa"/>
            <w:hideMark/>
          </w:tcPr>
          <w:p w14:paraId="55757DC8"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 xml:space="preserve">DC-SIGN </w:t>
            </w:r>
            <w:r w:rsidRPr="00490428">
              <w:rPr>
                <w:rFonts w:asciiTheme="minorHAnsi" w:hAnsiTheme="minorHAnsi" w:cstheme="minorHAnsi"/>
                <w:lang w:val="en-US"/>
              </w:rPr>
              <w:t xml:space="preserve">is involved in the immune response to viral and mycobacterial infections. Genetic variants in the </w:t>
            </w:r>
            <w:r w:rsidRPr="00490428">
              <w:rPr>
                <w:rFonts w:asciiTheme="minorHAnsi" w:hAnsiTheme="minorHAnsi" w:cstheme="minorHAnsi"/>
                <w:i/>
                <w:iCs/>
                <w:lang w:val="en-US"/>
              </w:rPr>
              <w:t xml:space="preserve">CLEC4M </w:t>
            </w:r>
            <w:r w:rsidRPr="00490428">
              <w:rPr>
                <w:rFonts w:asciiTheme="minorHAnsi" w:hAnsiTheme="minorHAnsi" w:cstheme="minorHAnsi"/>
                <w:lang w:val="en-US"/>
              </w:rPr>
              <w:t>gene are associated with susceptibility to infections such as HIV and tuberculosis.</w:t>
            </w:r>
          </w:p>
        </w:tc>
      </w:tr>
      <w:tr w:rsidR="00F47D79" w:rsidRPr="00F47D79" w14:paraId="7692758A" w14:textId="77777777" w:rsidTr="001E411D">
        <w:tc>
          <w:tcPr>
            <w:tcW w:w="3681" w:type="dxa"/>
            <w:hideMark/>
          </w:tcPr>
          <w:p w14:paraId="6ED82381"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Viral restriction system genes </w:t>
            </w:r>
          </w:p>
        </w:tc>
        <w:tc>
          <w:tcPr>
            <w:tcW w:w="5669" w:type="dxa"/>
            <w:hideMark/>
          </w:tcPr>
          <w:p w14:paraId="74D6FC1A"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 xml:space="preserve">APOBEC3G </w:t>
            </w:r>
            <w:r w:rsidRPr="00490428">
              <w:rPr>
                <w:rFonts w:asciiTheme="minorHAnsi" w:hAnsiTheme="minorHAnsi" w:cstheme="minorHAnsi"/>
                <w:lang w:val="en-US"/>
              </w:rPr>
              <w:t xml:space="preserve">gene, which inhibits HIV replication, and </w:t>
            </w:r>
            <w:r w:rsidRPr="00490428">
              <w:rPr>
                <w:rFonts w:asciiTheme="minorHAnsi" w:hAnsiTheme="minorHAnsi" w:cstheme="minorHAnsi"/>
                <w:i/>
                <w:iCs/>
                <w:lang w:val="en-US"/>
              </w:rPr>
              <w:t xml:space="preserve">TRIM5α </w:t>
            </w:r>
            <w:r w:rsidRPr="00490428">
              <w:rPr>
                <w:rFonts w:asciiTheme="minorHAnsi" w:hAnsiTheme="minorHAnsi" w:cstheme="minorHAnsi"/>
                <w:lang w:val="en-US"/>
              </w:rPr>
              <w:t xml:space="preserve">and </w:t>
            </w:r>
            <w:r w:rsidRPr="00490428">
              <w:rPr>
                <w:rFonts w:asciiTheme="minorHAnsi" w:hAnsiTheme="minorHAnsi" w:cstheme="minorHAnsi"/>
                <w:i/>
                <w:iCs/>
                <w:lang w:val="en-US"/>
              </w:rPr>
              <w:t xml:space="preserve">TRIM22 </w:t>
            </w:r>
            <w:r w:rsidRPr="00490428">
              <w:rPr>
                <w:rFonts w:asciiTheme="minorHAnsi" w:hAnsiTheme="minorHAnsi" w:cstheme="minorHAnsi"/>
                <w:lang w:val="en-US"/>
              </w:rPr>
              <w:t xml:space="preserve">genes, can restrict viral replication in different types of infections. Genes related to interferon production, include </w:t>
            </w:r>
            <w:r w:rsidRPr="00490428">
              <w:rPr>
                <w:rFonts w:asciiTheme="minorHAnsi" w:hAnsiTheme="minorHAnsi" w:cstheme="minorHAnsi"/>
                <w:i/>
                <w:iCs/>
                <w:lang w:val="en-US"/>
              </w:rPr>
              <w:t>IFN-α</w:t>
            </w:r>
            <w:r w:rsidRPr="00490428">
              <w:rPr>
                <w:rFonts w:asciiTheme="minorHAnsi" w:hAnsiTheme="minorHAnsi" w:cstheme="minorHAnsi"/>
                <w:lang w:val="en-US"/>
              </w:rPr>
              <w:t xml:space="preserve">, </w:t>
            </w:r>
            <w:r w:rsidRPr="00490428">
              <w:rPr>
                <w:rFonts w:asciiTheme="minorHAnsi" w:hAnsiTheme="minorHAnsi" w:cstheme="minorHAnsi"/>
                <w:i/>
                <w:iCs/>
                <w:lang w:val="en-US"/>
              </w:rPr>
              <w:t xml:space="preserve">IFN-β </w:t>
            </w:r>
            <w:r w:rsidRPr="00490428">
              <w:rPr>
                <w:rFonts w:asciiTheme="minorHAnsi" w:hAnsiTheme="minorHAnsi" w:cstheme="minorHAnsi"/>
                <w:lang w:val="en-US"/>
              </w:rPr>
              <w:t xml:space="preserve">and </w:t>
            </w:r>
            <w:r w:rsidRPr="00490428">
              <w:rPr>
                <w:rFonts w:asciiTheme="minorHAnsi" w:hAnsiTheme="minorHAnsi" w:cstheme="minorHAnsi"/>
                <w:i/>
                <w:iCs/>
                <w:lang w:val="en-US"/>
              </w:rPr>
              <w:t xml:space="preserve">IFN-γ </w:t>
            </w:r>
            <w:r w:rsidRPr="00490428">
              <w:rPr>
                <w:rFonts w:asciiTheme="minorHAnsi" w:hAnsiTheme="minorHAnsi" w:cstheme="minorHAnsi"/>
                <w:lang w:val="en-US"/>
              </w:rPr>
              <w:t>genes for activation of the antiviral response and in inhibiting viral replication.</w:t>
            </w:r>
          </w:p>
        </w:tc>
      </w:tr>
      <w:tr w:rsidR="00F47D79" w:rsidRPr="00F47D79" w14:paraId="1D6EB83A" w14:textId="77777777" w:rsidTr="001E411D">
        <w:tc>
          <w:tcPr>
            <w:tcW w:w="3681" w:type="dxa"/>
            <w:hideMark/>
          </w:tcPr>
          <w:p w14:paraId="6BB43853"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ACE2 </w:t>
            </w:r>
            <w:r w:rsidRPr="00490428">
              <w:rPr>
                <w:rFonts w:asciiTheme="minorHAnsi" w:hAnsiTheme="minorHAnsi" w:cstheme="minorHAnsi"/>
                <w:b/>
                <w:bCs/>
                <w:lang w:val="en-US"/>
              </w:rPr>
              <w:t xml:space="preserve">gene and COVID-19 </w:t>
            </w:r>
          </w:p>
        </w:tc>
        <w:tc>
          <w:tcPr>
            <w:tcW w:w="5669" w:type="dxa"/>
            <w:hideMark/>
          </w:tcPr>
          <w:p w14:paraId="7BE1B877"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 xml:space="preserve">ACE2 </w:t>
            </w:r>
            <w:r w:rsidRPr="00490428">
              <w:rPr>
                <w:rFonts w:asciiTheme="minorHAnsi" w:hAnsiTheme="minorHAnsi" w:cstheme="minorHAnsi"/>
                <w:lang w:val="en-US"/>
              </w:rPr>
              <w:t xml:space="preserve">gene encodes the angiotensin-converting enzyme receptor 2 (ACE2), used by the SARS-CoV-2 virus to enter human cells. Genetic variations in the </w:t>
            </w:r>
            <w:r w:rsidRPr="00490428">
              <w:rPr>
                <w:rFonts w:asciiTheme="minorHAnsi" w:hAnsiTheme="minorHAnsi" w:cstheme="minorHAnsi"/>
                <w:i/>
                <w:iCs/>
                <w:lang w:val="en-US"/>
              </w:rPr>
              <w:t xml:space="preserve">ACE2 </w:t>
            </w:r>
            <w:r w:rsidRPr="00490428">
              <w:rPr>
                <w:rFonts w:asciiTheme="minorHAnsi" w:hAnsiTheme="minorHAnsi" w:cstheme="minorHAnsi"/>
                <w:lang w:val="en-US"/>
              </w:rPr>
              <w:t>gene influence susceptibility and severity of COVID-19 disease.</w:t>
            </w:r>
          </w:p>
        </w:tc>
      </w:tr>
      <w:tr w:rsidR="00F47D79" w:rsidRPr="00F47D79" w14:paraId="5085DDDB" w14:textId="77777777" w:rsidTr="001E411D">
        <w:tc>
          <w:tcPr>
            <w:tcW w:w="3681" w:type="dxa"/>
            <w:hideMark/>
          </w:tcPr>
          <w:p w14:paraId="3B9E3A73"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FUT2 </w:t>
            </w:r>
            <w:r w:rsidRPr="00490428">
              <w:rPr>
                <w:rFonts w:asciiTheme="minorHAnsi" w:hAnsiTheme="minorHAnsi" w:cstheme="minorHAnsi"/>
                <w:b/>
                <w:bCs/>
                <w:lang w:val="en-US"/>
              </w:rPr>
              <w:t xml:space="preserve">genes and norovirus </w:t>
            </w:r>
          </w:p>
        </w:tc>
        <w:tc>
          <w:tcPr>
            <w:tcW w:w="5669" w:type="dxa"/>
            <w:hideMark/>
          </w:tcPr>
          <w:p w14:paraId="40351C27"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 xml:space="preserve">FUT2 </w:t>
            </w:r>
            <w:r w:rsidRPr="00490428">
              <w:rPr>
                <w:rFonts w:asciiTheme="minorHAnsi" w:hAnsiTheme="minorHAnsi" w:cstheme="minorHAnsi"/>
                <w:lang w:val="en-US"/>
              </w:rPr>
              <w:t>gene encodes an enzyme involved in the expression of blood group antigens in the epithelial cells of the gastrointestinal tract, and its genetic variants have been associated with susceptibility to norovirus infection and gastroenteritis.</w:t>
            </w:r>
          </w:p>
        </w:tc>
      </w:tr>
      <w:tr w:rsidR="00F47D79" w:rsidRPr="00F47D79" w14:paraId="0B49813D" w14:textId="77777777" w:rsidTr="001E411D">
        <w:tc>
          <w:tcPr>
            <w:tcW w:w="3681" w:type="dxa"/>
            <w:hideMark/>
          </w:tcPr>
          <w:p w14:paraId="3A9D04A8"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HBB </w:t>
            </w:r>
            <w:r w:rsidRPr="00490428">
              <w:rPr>
                <w:rFonts w:asciiTheme="minorHAnsi" w:hAnsiTheme="minorHAnsi" w:cstheme="minorHAnsi"/>
                <w:b/>
                <w:bCs/>
                <w:lang w:val="en-US"/>
              </w:rPr>
              <w:t xml:space="preserve">gene and malaria </w:t>
            </w:r>
          </w:p>
        </w:tc>
        <w:tc>
          <w:tcPr>
            <w:tcW w:w="5669" w:type="dxa"/>
            <w:hideMark/>
          </w:tcPr>
          <w:p w14:paraId="34C882AA"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Beta globin gene (</w:t>
            </w:r>
            <w:r w:rsidRPr="00490428">
              <w:rPr>
                <w:rFonts w:asciiTheme="minorHAnsi" w:hAnsiTheme="minorHAnsi" w:cstheme="minorHAnsi"/>
                <w:i/>
                <w:iCs/>
                <w:lang w:val="en-US"/>
              </w:rPr>
              <w:t>HBB</w:t>
            </w:r>
            <w:r w:rsidRPr="00490428">
              <w:rPr>
                <w:rFonts w:asciiTheme="minorHAnsi" w:hAnsiTheme="minorHAnsi" w:cstheme="minorHAnsi"/>
                <w:lang w:val="en-US"/>
              </w:rPr>
              <w:t>) related to susceptibility to malaria. The HbS allele in homozygosis or heterozygosis is associated with sickle cell anemia which provides protection against malaria.</w:t>
            </w:r>
          </w:p>
        </w:tc>
      </w:tr>
      <w:tr w:rsidR="00F47D79" w:rsidRPr="00F47D79" w14:paraId="4627D622" w14:textId="77777777" w:rsidTr="001E411D">
        <w:tc>
          <w:tcPr>
            <w:tcW w:w="3681" w:type="dxa"/>
            <w:hideMark/>
          </w:tcPr>
          <w:p w14:paraId="1DEFAD98" w14:textId="77777777" w:rsidR="00F47D79" w:rsidRPr="00490428" w:rsidRDefault="00F47D79" w:rsidP="001E411D">
            <w:pPr>
              <w:tabs>
                <w:tab w:val="center" w:pos="4680"/>
              </w:tabs>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CCR5 </w:t>
            </w:r>
            <w:r w:rsidRPr="00490428">
              <w:rPr>
                <w:rFonts w:asciiTheme="minorHAnsi" w:hAnsiTheme="minorHAnsi" w:cstheme="minorHAnsi"/>
                <w:b/>
                <w:bCs/>
                <w:lang w:val="en-US"/>
              </w:rPr>
              <w:t xml:space="preserve">gene and West Nile Virus </w:t>
            </w:r>
          </w:p>
        </w:tc>
        <w:tc>
          <w:tcPr>
            <w:tcW w:w="5669" w:type="dxa"/>
            <w:hideMark/>
          </w:tcPr>
          <w:p w14:paraId="0EE36F0C" w14:textId="77777777" w:rsidR="00F47D79" w:rsidRPr="00490428" w:rsidRDefault="00F47D79" w:rsidP="001E411D">
            <w:pPr>
              <w:tabs>
                <w:tab w:val="center" w:pos="4680"/>
              </w:tabs>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Individuals with the delta32 mutation in the </w:t>
            </w:r>
            <w:r w:rsidRPr="00490428">
              <w:rPr>
                <w:rFonts w:asciiTheme="minorHAnsi" w:hAnsiTheme="minorHAnsi" w:cstheme="minorHAnsi"/>
                <w:i/>
                <w:iCs/>
                <w:lang w:val="en-US"/>
              </w:rPr>
              <w:t xml:space="preserve">CCR5 </w:t>
            </w:r>
            <w:r w:rsidRPr="00490428">
              <w:rPr>
                <w:rFonts w:asciiTheme="minorHAnsi" w:hAnsiTheme="minorHAnsi" w:cstheme="minorHAnsi"/>
                <w:lang w:val="en-US"/>
              </w:rPr>
              <w:t xml:space="preserve">gene have increased resistance to West Nile virus infection. Similarly, the </w:t>
            </w:r>
            <w:r w:rsidRPr="00490428">
              <w:rPr>
                <w:rFonts w:asciiTheme="minorHAnsi" w:hAnsiTheme="minorHAnsi" w:cstheme="minorHAnsi"/>
                <w:i/>
                <w:iCs/>
                <w:lang w:val="en-US"/>
              </w:rPr>
              <w:t xml:space="preserve">CCR5-Δ32 </w:t>
            </w:r>
            <w:r w:rsidRPr="00490428">
              <w:rPr>
                <w:rFonts w:asciiTheme="minorHAnsi" w:hAnsiTheme="minorHAnsi" w:cstheme="minorHAnsi"/>
                <w:lang w:val="en-US"/>
              </w:rPr>
              <w:t xml:space="preserve">mutation confers increased resistance to HIV infection. </w:t>
            </w:r>
          </w:p>
        </w:tc>
      </w:tr>
      <w:tr w:rsidR="00F47D79" w:rsidRPr="00F47D79" w14:paraId="312B52B4" w14:textId="77777777" w:rsidTr="001E411D">
        <w:tc>
          <w:tcPr>
            <w:tcW w:w="3681" w:type="dxa"/>
            <w:hideMark/>
          </w:tcPr>
          <w:p w14:paraId="014EA7BA"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CCR2 </w:t>
            </w:r>
            <w:r w:rsidRPr="00490428">
              <w:rPr>
                <w:rFonts w:asciiTheme="minorHAnsi" w:hAnsiTheme="minorHAnsi" w:cstheme="minorHAnsi"/>
                <w:b/>
                <w:bCs/>
                <w:lang w:val="en-US"/>
              </w:rPr>
              <w:t xml:space="preserve">genes and tuberculosis </w:t>
            </w:r>
          </w:p>
        </w:tc>
        <w:tc>
          <w:tcPr>
            <w:tcW w:w="5669" w:type="dxa"/>
            <w:hideMark/>
          </w:tcPr>
          <w:p w14:paraId="41854816"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Genetic variations in the </w:t>
            </w:r>
            <w:r w:rsidRPr="00490428">
              <w:rPr>
                <w:rFonts w:asciiTheme="minorHAnsi" w:hAnsiTheme="minorHAnsi" w:cstheme="minorHAnsi"/>
                <w:i/>
                <w:iCs/>
                <w:lang w:val="en-US"/>
              </w:rPr>
              <w:t xml:space="preserve">CCR2 </w:t>
            </w:r>
            <w:r w:rsidRPr="00490428">
              <w:rPr>
                <w:rFonts w:asciiTheme="minorHAnsi" w:hAnsiTheme="minorHAnsi" w:cstheme="minorHAnsi"/>
                <w:lang w:val="en-US"/>
              </w:rPr>
              <w:t>gene are associated with susceptibility to tuberculosis infection and may influence the immune response to the bacteria.</w:t>
            </w:r>
          </w:p>
        </w:tc>
      </w:tr>
      <w:tr w:rsidR="00F47D79" w:rsidRPr="00F47D79" w14:paraId="01D8CF37" w14:textId="77777777" w:rsidTr="001E411D">
        <w:tc>
          <w:tcPr>
            <w:tcW w:w="3681" w:type="dxa"/>
            <w:hideMark/>
          </w:tcPr>
          <w:p w14:paraId="6610991B"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IL28B </w:t>
            </w:r>
            <w:r w:rsidRPr="00490428">
              <w:rPr>
                <w:rFonts w:asciiTheme="minorHAnsi" w:hAnsiTheme="minorHAnsi" w:cstheme="minorHAnsi"/>
                <w:b/>
                <w:bCs/>
                <w:lang w:val="en-US"/>
              </w:rPr>
              <w:t xml:space="preserve">genes and hepatitis C </w:t>
            </w:r>
          </w:p>
        </w:tc>
        <w:tc>
          <w:tcPr>
            <w:tcW w:w="5669" w:type="dxa"/>
            <w:hideMark/>
          </w:tcPr>
          <w:p w14:paraId="25CE9938"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Genetic variations in </w:t>
            </w:r>
            <w:r w:rsidRPr="00490428">
              <w:rPr>
                <w:rFonts w:asciiTheme="minorHAnsi" w:hAnsiTheme="minorHAnsi" w:cstheme="minorHAnsi"/>
                <w:i/>
                <w:iCs/>
                <w:lang w:val="en-US"/>
              </w:rPr>
              <w:t xml:space="preserve">IL28B </w:t>
            </w:r>
            <w:r w:rsidRPr="00490428">
              <w:rPr>
                <w:rFonts w:asciiTheme="minorHAnsi" w:hAnsiTheme="minorHAnsi" w:cstheme="minorHAnsi"/>
                <w:lang w:val="en-US"/>
              </w:rPr>
              <w:t>(interleukin 28B) genes are associated with treatment response and disease progression in persons infected with hepatitis C virus.</w:t>
            </w:r>
          </w:p>
        </w:tc>
      </w:tr>
      <w:tr w:rsidR="00F47D79" w:rsidRPr="00F47D79" w14:paraId="59568FD9" w14:textId="77777777" w:rsidTr="001E411D">
        <w:tc>
          <w:tcPr>
            <w:tcW w:w="3681" w:type="dxa"/>
            <w:hideMark/>
          </w:tcPr>
          <w:p w14:paraId="75922A99"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HLA genes and human papillomavirus (HPV) </w:t>
            </w:r>
          </w:p>
        </w:tc>
        <w:tc>
          <w:tcPr>
            <w:tcW w:w="5669" w:type="dxa"/>
            <w:hideMark/>
          </w:tcPr>
          <w:p w14:paraId="03792394"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HPV preferentially causes genital infections and cervical cancer. Genetic variations in human major histocompatibility complex (HLA) genes have been associated with susceptibility and progression of HPV infections.</w:t>
            </w:r>
          </w:p>
        </w:tc>
      </w:tr>
      <w:tr w:rsidR="00F47D79" w:rsidRPr="00F47D79" w14:paraId="2D858E1A" w14:textId="77777777" w:rsidTr="001E411D">
        <w:tc>
          <w:tcPr>
            <w:tcW w:w="3681" w:type="dxa"/>
            <w:hideMark/>
          </w:tcPr>
          <w:p w14:paraId="68D962AD"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NOD2 </w:t>
            </w:r>
            <w:r w:rsidRPr="00490428">
              <w:rPr>
                <w:rFonts w:asciiTheme="minorHAnsi" w:hAnsiTheme="minorHAnsi" w:cstheme="minorHAnsi"/>
                <w:b/>
                <w:bCs/>
                <w:lang w:val="en-US"/>
              </w:rPr>
              <w:t xml:space="preserve">gene and Crohn's disease </w:t>
            </w:r>
          </w:p>
        </w:tc>
        <w:tc>
          <w:tcPr>
            <w:tcW w:w="5669" w:type="dxa"/>
            <w:hideMark/>
          </w:tcPr>
          <w:p w14:paraId="76AB87CC"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Mutations in the </w:t>
            </w:r>
            <w:r w:rsidRPr="00490428">
              <w:rPr>
                <w:rFonts w:asciiTheme="minorHAnsi" w:hAnsiTheme="minorHAnsi" w:cstheme="minorHAnsi"/>
                <w:i/>
                <w:iCs/>
                <w:lang w:val="en-US"/>
              </w:rPr>
              <w:t xml:space="preserve">NOD2 </w:t>
            </w:r>
            <w:r w:rsidRPr="00490428">
              <w:rPr>
                <w:rFonts w:asciiTheme="minorHAnsi" w:hAnsiTheme="minorHAnsi" w:cstheme="minorHAnsi"/>
                <w:lang w:val="en-US"/>
              </w:rPr>
              <w:t>gene are associated with Crohn's disease and may influence the immune response to intestinal bacterial infections.</w:t>
            </w:r>
          </w:p>
        </w:tc>
      </w:tr>
      <w:tr w:rsidR="00F47D79" w:rsidRPr="00F47D79" w14:paraId="681C3526" w14:textId="77777777" w:rsidTr="001E411D">
        <w:tc>
          <w:tcPr>
            <w:tcW w:w="3681" w:type="dxa"/>
            <w:hideMark/>
          </w:tcPr>
          <w:p w14:paraId="77A951FC"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lang w:val="en-US"/>
              </w:rPr>
              <w:t xml:space="preserve">TLR genes and viral respiratory diseases </w:t>
            </w:r>
          </w:p>
        </w:tc>
        <w:tc>
          <w:tcPr>
            <w:tcW w:w="5669" w:type="dxa"/>
            <w:hideMark/>
          </w:tcPr>
          <w:p w14:paraId="35BB28E2"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Toll-like receptor (TLR) genes, such as </w:t>
            </w:r>
            <w:r w:rsidRPr="00490428">
              <w:rPr>
                <w:rFonts w:asciiTheme="minorHAnsi" w:hAnsiTheme="minorHAnsi" w:cstheme="minorHAnsi"/>
                <w:i/>
                <w:iCs/>
                <w:lang w:val="en-US"/>
              </w:rPr>
              <w:t xml:space="preserve">TLR3 </w:t>
            </w:r>
            <w:r w:rsidRPr="00490428">
              <w:rPr>
                <w:rFonts w:asciiTheme="minorHAnsi" w:hAnsiTheme="minorHAnsi" w:cstheme="minorHAnsi"/>
                <w:lang w:val="en-US"/>
              </w:rPr>
              <w:t xml:space="preserve">and </w:t>
            </w:r>
            <w:r w:rsidRPr="00490428">
              <w:rPr>
                <w:rFonts w:asciiTheme="minorHAnsi" w:hAnsiTheme="minorHAnsi" w:cstheme="minorHAnsi"/>
                <w:i/>
                <w:iCs/>
                <w:lang w:val="en-US"/>
              </w:rPr>
              <w:t>TLR7</w:t>
            </w:r>
            <w:r w:rsidRPr="00490428">
              <w:rPr>
                <w:rFonts w:asciiTheme="minorHAnsi" w:hAnsiTheme="minorHAnsi" w:cstheme="minorHAnsi"/>
                <w:lang w:val="en-US"/>
              </w:rPr>
              <w:t>, are involved in susceptibility to respiratory viruses. Genetic variations influence the susceptibility and severity of viral respiratory conditions, such as influenza and respiratory syncytial virus (RSV).</w:t>
            </w:r>
          </w:p>
        </w:tc>
      </w:tr>
      <w:tr w:rsidR="00F47D79" w:rsidRPr="00F47D79" w14:paraId="1564A61D" w14:textId="77777777" w:rsidTr="001E411D">
        <w:tc>
          <w:tcPr>
            <w:tcW w:w="3681" w:type="dxa"/>
            <w:hideMark/>
          </w:tcPr>
          <w:p w14:paraId="1D2FE4D9"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IFNL3 </w:t>
            </w:r>
            <w:r w:rsidRPr="00490428">
              <w:rPr>
                <w:rFonts w:asciiTheme="minorHAnsi" w:hAnsiTheme="minorHAnsi" w:cstheme="minorHAnsi"/>
                <w:b/>
                <w:bCs/>
                <w:lang w:val="en-US"/>
              </w:rPr>
              <w:t xml:space="preserve">and hepatitis B genes </w:t>
            </w:r>
          </w:p>
        </w:tc>
        <w:tc>
          <w:tcPr>
            <w:tcW w:w="5669" w:type="dxa"/>
            <w:hideMark/>
          </w:tcPr>
          <w:p w14:paraId="516B1DD7"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Genetic variations in </w:t>
            </w:r>
            <w:r w:rsidRPr="00490428">
              <w:rPr>
                <w:rFonts w:asciiTheme="minorHAnsi" w:hAnsiTheme="minorHAnsi" w:cstheme="minorHAnsi"/>
                <w:i/>
                <w:iCs/>
                <w:lang w:val="en-US"/>
              </w:rPr>
              <w:t xml:space="preserve">IFNL3 </w:t>
            </w:r>
            <w:r w:rsidRPr="00490428">
              <w:rPr>
                <w:rFonts w:asciiTheme="minorHAnsi" w:hAnsiTheme="minorHAnsi" w:cstheme="minorHAnsi"/>
                <w:lang w:val="en-US"/>
              </w:rPr>
              <w:t>(interferon lambda 3) genes are associated with treatment response and disease progression in persons infected with hepatitis B virus.</w:t>
            </w:r>
          </w:p>
        </w:tc>
      </w:tr>
      <w:tr w:rsidR="00F47D79" w:rsidRPr="00F47D79" w14:paraId="5312008A" w14:textId="77777777" w:rsidTr="001E411D">
        <w:tc>
          <w:tcPr>
            <w:tcW w:w="3681" w:type="dxa"/>
            <w:hideMark/>
          </w:tcPr>
          <w:p w14:paraId="51455451"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MBL2 </w:t>
            </w:r>
            <w:r w:rsidRPr="00490428">
              <w:rPr>
                <w:rFonts w:asciiTheme="minorHAnsi" w:hAnsiTheme="minorHAnsi" w:cstheme="minorHAnsi"/>
                <w:b/>
                <w:bCs/>
                <w:lang w:val="en-US"/>
              </w:rPr>
              <w:t xml:space="preserve">genes and bacterial infections </w:t>
            </w:r>
          </w:p>
        </w:tc>
        <w:tc>
          <w:tcPr>
            <w:tcW w:w="5669" w:type="dxa"/>
            <w:hideMark/>
          </w:tcPr>
          <w:p w14:paraId="6BC08097"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Genetic variations in </w:t>
            </w:r>
            <w:r w:rsidRPr="00490428">
              <w:rPr>
                <w:rFonts w:asciiTheme="minorHAnsi" w:hAnsiTheme="minorHAnsi" w:cstheme="minorHAnsi"/>
                <w:i/>
                <w:iCs/>
                <w:lang w:val="en-US"/>
              </w:rPr>
              <w:t xml:space="preserve">MBL2 </w:t>
            </w:r>
            <w:r w:rsidRPr="00490428">
              <w:rPr>
                <w:rFonts w:asciiTheme="minorHAnsi" w:hAnsiTheme="minorHAnsi" w:cstheme="minorHAnsi"/>
                <w:lang w:val="en-US"/>
              </w:rPr>
              <w:t>genes affect the function of MBL proteins and increase susceptibility to bacterial infections, such as pneumonia and sepsis.</w:t>
            </w:r>
          </w:p>
        </w:tc>
      </w:tr>
      <w:tr w:rsidR="00F47D79" w:rsidRPr="00F47D79" w14:paraId="699F0AC8" w14:textId="77777777" w:rsidTr="001E411D">
        <w:tc>
          <w:tcPr>
            <w:tcW w:w="3681" w:type="dxa"/>
            <w:hideMark/>
          </w:tcPr>
          <w:p w14:paraId="74AB8652"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NRAMP1 </w:t>
            </w:r>
            <w:r w:rsidRPr="00490428">
              <w:rPr>
                <w:rFonts w:asciiTheme="minorHAnsi" w:hAnsiTheme="minorHAnsi" w:cstheme="minorHAnsi"/>
                <w:b/>
                <w:bCs/>
                <w:lang w:val="en-US"/>
              </w:rPr>
              <w:t xml:space="preserve">genes and susceptibility to tuberculosis. </w:t>
            </w:r>
          </w:p>
        </w:tc>
        <w:tc>
          <w:tcPr>
            <w:tcW w:w="5669" w:type="dxa"/>
            <w:hideMark/>
          </w:tcPr>
          <w:p w14:paraId="734CEFF9"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 xml:space="preserve">NRAMP1 </w:t>
            </w:r>
            <w:r w:rsidRPr="00490428">
              <w:rPr>
                <w:rFonts w:asciiTheme="minorHAnsi" w:hAnsiTheme="minorHAnsi" w:cstheme="minorHAnsi"/>
                <w:lang w:val="en-US"/>
              </w:rPr>
              <w:t xml:space="preserve">gene is involved in the transport of iron and manganese in phagocytic cells, and plays a role in the immune response against tuberculosis. Genetic variations of </w:t>
            </w:r>
            <w:r w:rsidRPr="00490428">
              <w:rPr>
                <w:rFonts w:asciiTheme="minorHAnsi" w:hAnsiTheme="minorHAnsi" w:cstheme="minorHAnsi"/>
                <w:i/>
                <w:iCs/>
                <w:lang w:val="en-US"/>
              </w:rPr>
              <w:t xml:space="preserve">NRAMP1 </w:t>
            </w:r>
            <w:r w:rsidRPr="00490428">
              <w:rPr>
                <w:rFonts w:asciiTheme="minorHAnsi" w:hAnsiTheme="minorHAnsi" w:cstheme="minorHAnsi"/>
                <w:lang w:val="en-US"/>
              </w:rPr>
              <w:t>have been associated with increased susceptibility.</w:t>
            </w:r>
          </w:p>
        </w:tc>
      </w:tr>
      <w:tr w:rsidR="00F47D79" w:rsidRPr="00F47D79" w14:paraId="31BE5C79" w14:textId="77777777" w:rsidTr="001E411D">
        <w:tc>
          <w:tcPr>
            <w:tcW w:w="3681" w:type="dxa"/>
            <w:hideMark/>
          </w:tcPr>
          <w:p w14:paraId="156D8715"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TLR4 </w:t>
            </w:r>
            <w:r w:rsidRPr="00490428">
              <w:rPr>
                <w:rFonts w:asciiTheme="minorHAnsi" w:hAnsiTheme="minorHAnsi" w:cstheme="minorHAnsi"/>
                <w:b/>
                <w:bCs/>
                <w:lang w:val="en-US"/>
              </w:rPr>
              <w:t xml:space="preserve">genes and periodontal diseases </w:t>
            </w:r>
          </w:p>
        </w:tc>
        <w:tc>
          <w:tcPr>
            <w:tcW w:w="5669" w:type="dxa"/>
            <w:hideMark/>
          </w:tcPr>
          <w:p w14:paraId="25E3DDBD"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Genetic variations in the </w:t>
            </w:r>
            <w:r w:rsidRPr="00490428">
              <w:rPr>
                <w:rFonts w:asciiTheme="minorHAnsi" w:hAnsiTheme="minorHAnsi" w:cstheme="minorHAnsi"/>
                <w:i/>
                <w:iCs/>
                <w:lang w:val="en-US"/>
              </w:rPr>
              <w:t xml:space="preserve">TLR4 </w:t>
            </w:r>
            <w:r w:rsidRPr="00490428">
              <w:rPr>
                <w:rFonts w:asciiTheme="minorHAnsi" w:hAnsiTheme="minorHAnsi" w:cstheme="minorHAnsi"/>
                <w:lang w:val="en-US"/>
              </w:rPr>
              <w:t>gene influence the inflammatory response to periodontal bacteria and determine greater susceptibility to these diseases.</w:t>
            </w:r>
          </w:p>
        </w:tc>
      </w:tr>
      <w:tr w:rsidR="00F47D79" w:rsidRPr="00F47D79" w14:paraId="25A0E374" w14:textId="77777777" w:rsidTr="001E411D">
        <w:tc>
          <w:tcPr>
            <w:tcW w:w="3681" w:type="dxa"/>
            <w:hideMark/>
          </w:tcPr>
          <w:p w14:paraId="6EEE6C5D"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HAVCR1 </w:t>
            </w:r>
            <w:r w:rsidRPr="00490428">
              <w:rPr>
                <w:rFonts w:asciiTheme="minorHAnsi" w:hAnsiTheme="minorHAnsi" w:cstheme="minorHAnsi"/>
                <w:b/>
                <w:bCs/>
                <w:lang w:val="en-US"/>
              </w:rPr>
              <w:t xml:space="preserve">genes and hepatitis A infection </w:t>
            </w:r>
          </w:p>
        </w:tc>
        <w:tc>
          <w:tcPr>
            <w:tcW w:w="5669" w:type="dxa"/>
            <w:hideMark/>
          </w:tcPr>
          <w:p w14:paraId="4BC026E4"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 xml:space="preserve">HAVCR1 </w:t>
            </w:r>
            <w:r w:rsidRPr="00490428">
              <w:rPr>
                <w:rFonts w:asciiTheme="minorHAnsi" w:hAnsiTheme="minorHAnsi" w:cstheme="minorHAnsi"/>
                <w:lang w:val="en-US"/>
              </w:rPr>
              <w:t xml:space="preserve">gene encodes the hepatitis A cell receptor, which is necessary for the virus to enter cells. Genetic variations in </w:t>
            </w:r>
            <w:r w:rsidRPr="00490428">
              <w:rPr>
                <w:rFonts w:asciiTheme="minorHAnsi" w:hAnsiTheme="minorHAnsi" w:cstheme="minorHAnsi"/>
                <w:i/>
                <w:iCs/>
                <w:lang w:val="en-US"/>
              </w:rPr>
              <w:t xml:space="preserve">HAVCR1 </w:t>
            </w:r>
            <w:r w:rsidRPr="00490428">
              <w:rPr>
                <w:rFonts w:asciiTheme="minorHAnsi" w:hAnsiTheme="minorHAnsi" w:cstheme="minorHAnsi"/>
                <w:lang w:val="en-US"/>
              </w:rPr>
              <w:t>involve greater or lesser susceptibility to infection and disease severity.</w:t>
            </w:r>
          </w:p>
        </w:tc>
      </w:tr>
      <w:tr w:rsidR="00F47D79" w:rsidRPr="00F47D79" w14:paraId="409E1E5C" w14:textId="77777777" w:rsidTr="001E411D">
        <w:tc>
          <w:tcPr>
            <w:tcW w:w="3681" w:type="dxa"/>
            <w:hideMark/>
          </w:tcPr>
          <w:p w14:paraId="28429ED3"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CCL5 </w:t>
            </w:r>
            <w:r w:rsidRPr="00490428">
              <w:rPr>
                <w:rFonts w:asciiTheme="minorHAnsi" w:hAnsiTheme="minorHAnsi" w:cstheme="minorHAnsi"/>
                <w:b/>
                <w:bCs/>
                <w:lang w:val="en-US"/>
              </w:rPr>
              <w:t xml:space="preserve">gene and HIV </w:t>
            </w:r>
          </w:p>
        </w:tc>
        <w:tc>
          <w:tcPr>
            <w:tcW w:w="5669" w:type="dxa"/>
            <w:hideMark/>
          </w:tcPr>
          <w:p w14:paraId="1ED3DBA5"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 xml:space="preserve">CCL5 </w:t>
            </w:r>
            <w:r w:rsidRPr="00490428">
              <w:rPr>
                <w:rFonts w:asciiTheme="minorHAnsi" w:hAnsiTheme="minorHAnsi" w:cstheme="minorHAnsi"/>
                <w:lang w:val="en-US"/>
              </w:rPr>
              <w:t xml:space="preserve">gene encodes the chemokine RANTES, which is a natural ligand of the </w:t>
            </w:r>
            <w:r w:rsidRPr="00490428">
              <w:rPr>
                <w:rFonts w:asciiTheme="minorHAnsi" w:hAnsiTheme="minorHAnsi" w:cstheme="minorHAnsi"/>
                <w:i/>
                <w:iCs/>
                <w:lang w:val="en-US"/>
              </w:rPr>
              <w:t xml:space="preserve">CCR5 </w:t>
            </w:r>
            <w:r w:rsidRPr="00490428">
              <w:rPr>
                <w:rFonts w:asciiTheme="minorHAnsi" w:hAnsiTheme="minorHAnsi" w:cstheme="minorHAnsi"/>
                <w:lang w:val="en-US"/>
              </w:rPr>
              <w:t xml:space="preserve">receptor. Genetic variants in the </w:t>
            </w:r>
            <w:r w:rsidRPr="00490428">
              <w:rPr>
                <w:rFonts w:asciiTheme="minorHAnsi" w:hAnsiTheme="minorHAnsi" w:cstheme="minorHAnsi"/>
                <w:i/>
                <w:iCs/>
                <w:lang w:val="en-US"/>
              </w:rPr>
              <w:t xml:space="preserve">CCL5 </w:t>
            </w:r>
            <w:r w:rsidRPr="00490428">
              <w:rPr>
                <w:rFonts w:asciiTheme="minorHAnsi" w:hAnsiTheme="minorHAnsi" w:cstheme="minorHAnsi"/>
                <w:lang w:val="en-US"/>
              </w:rPr>
              <w:t>gene have been associated with HIV infection progression and disease susceptibility</w:t>
            </w:r>
            <w:r w:rsidRPr="00490428">
              <w:rPr>
                <w:rFonts w:asciiTheme="minorHAnsi" w:hAnsiTheme="minorHAnsi" w:cstheme="minorHAnsi"/>
                <w:i/>
                <w:iCs/>
                <w:lang w:val="en-US"/>
              </w:rPr>
              <w:t>.</w:t>
            </w:r>
          </w:p>
        </w:tc>
      </w:tr>
      <w:tr w:rsidR="00F47D79" w:rsidRPr="00F47D79" w14:paraId="6CB1AD8A" w14:textId="77777777" w:rsidTr="001E411D">
        <w:tc>
          <w:tcPr>
            <w:tcW w:w="3681" w:type="dxa"/>
            <w:hideMark/>
          </w:tcPr>
          <w:p w14:paraId="0CFF8BF6"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IL10 </w:t>
            </w:r>
            <w:r w:rsidRPr="00490428">
              <w:rPr>
                <w:rFonts w:asciiTheme="minorHAnsi" w:hAnsiTheme="minorHAnsi" w:cstheme="minorHAnsi"/>
                <w:b/>
                <w:bCs/>
                <w:lang w:val="en-US"/>
              </w:rPr>
              <w:t xml:space="preserve">gene and malaria </w:t>
            </w:r>
          </w:p>
        </w:tc>
        <w:tc>
          <w:tcPr>
            <w:tcW w:w="5669" w:type="dxa"/>
            <w:hideMark/>
          </w:tcPr>
          <w:p w14:paraId="42A91C5B"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 xml:space="preserve">IL10 </w:t>
            </w:r>
            <w:r w:rsidRPr="00490428">
              <w:rPr>
                <w:rFonts w:asciiTheme="minorHAnsi" w:hAnsiTheme="minorHAnsi" w:cstheme="minorHAnsi"/>
                <w:lang w:val="en-US"/>
              </w:rPr>
              <w:t xml:space="preserve">gene encodes interleukin 10, which is a cytokine with anti-inflammatory properties. Genetic variations in </w:t>
            </w:r>
            <w:r w:rsidRPr="00490428">
              <w:rPr>
                <w:rFonts w:asciiTheme="minorHAnsi" w:hAnsiTheme="minorHAnsi" w:cstheme="minorHAnsi"/>
                <w:i/>
                <w:iCs/>
                <w:lang w:val="en-US"/>
              </w:rPr>
              <w:t xml:space="preserve">IL10 </w:t>
            </w:r>
            <w:r w:rsidRPr="00490428">
              <w:rPr>
                <w:rFonts w:asciiTheme="minorHAnsi" w:hAnsiTheme="minorHAnsi" w:cstheme="minorHAnsi"/>
                <w:lang w:val="en-US"/>
              </w:rPr>
              <w:t>influence the immune response to intracellular infection.</w:t>
            </w:r>
          </w:p>
        </w:tc>
      </w:tr>
      <w:tr w:rsidR="00F47D79" w:rsidRPr="00F47D79" w14:paraId="0BA6A4BE" w14:textId="77777777" w:rsidTr="001E411D">
        <w:tc>
          <w:tcPr>
            <w:tcW w:w="3681" w:type="dxa"/>
            <w:hideMark/>
          </w:tcPr>
          <w:p w14:paraId="775B8935"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DARC </w:t>
            </w:r>
            <w:r w:rsidRPr="00490428">
              <w:rPr>
                <w:rFonts w:asciiTheme="minorHAnsi" w:hAnsiTheme="minorHAnsi" w:cstheme="minorHAnsi"/>
                <w:b/>
                <w:bCs/>
                <w:lang w:val="en-US"/>
              </w:rPr>
              <w:t xml:space="preserve">genes and </w:t>
            </w:r>
            <w:r w:rsidRPr="00490428">
              <w:rPr>
                <w:rFonts w:asciiTheme="minorHAnsi" w:hAnsiTheme="minorHAnsi" w:cstheme="minorHAnsi"/>
                <w:b/>
                <w:bCs/>
                <w:i/>
                <w:iCs/>
                <w:lang w:val="en-US"/>
              </w:rPr>
              <w:t xml:space="preserve">Plasmodium </w:t>
            </w:r>
            <w:r w:rsidRPr="00490428">
              <w:rPr>
                <w:rFonts w:asciiTheme="minorHAnsi" w:hAnsiTheme="minorHAnsi" w:cstheme="minorHAnsi"/>
                <w:b/>
                <w:bCs/>
                <w:lang w:val="en-US"/>
              </w:rPr>
              <w:t xml:space="preserve">malaria </w:t>
            </w:r>
          </w:p>
        </w:tc>
        <w:tc>
          <w:tcPr>
            <w:tcW w:w="5669" w:type="dxa"/>
            <w:hideMark/>
          </w:tcPr>
          <w:p w14:paraId="0DAB9CAF"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 xml:space="preserve">DARC </w:t>
            </w:r>
            <w:r w:rsidRPr="00490428">
              <w:rPr>
                <w:rFonts w:asciiTheme="minorHAnsi" w:hAnsiTheme="minorHAnsi" w:cstheme="minorHAnsi"/>
                <w:lang w:val="en-US"/>
              </w:rPr>
              <w:t xml:space="preserve">gene encodes the erythrocyte chemokine receptor, which is used by the </w:t>
            </w:r>
            <w:r w:rsidRPr="00490428">
              <w:rPr>
                <w:rFonts w:asciiTheme="minorHAnsi" w:hAnsiTheme="minorHAnsi" w:cstheme="minorHAnsi"/>
                <w:i/>
                <w:iCs/>
                <w:lang w:val="en-US"/>
              </w:rPr>
              <w:t xml:space="preserve">Plasmodium vivax </w:t>
            </w:r>
            <w:r w:rsidRPr="00490428">
              <w:rPr>
                <w:rFonts w:asciiTheme="minorHAnsi" w:hAnsiTheme="minorHAnsi" w:cstheme="minorHAnsi"/>
                <w:lang w:val="en-US"/>
              </w:rPr>
              <w:t xml:space="preserve">parasite to enter red blood cells. Genetic variants in </w:t>
            </w:r>
            <w:r w:rsidRPr="00490428">
              <w:rPr>
                <w:rFonts w:asciiTheme="minorHAnsi" w:hAnsiTheme="minorHAnsi" w:cstheme="minorHAnsi"/>
                <w:i/>
                <w:iCs/>
                <w:lang w:val="en-US"/>
              </w:rPr>
              <w:t xml:space="preserve">DARC </w:t>
            </w:r>
            <w:r w:rsidRPr="00490428">
              <w:rPr>
                <w:rFonts w:asciiTheme="minorHAnsi" w:hAnsiTheme="minorHAnsi" w:cstheme="minorHAnsi"/>
                <w:lang w:val="en-US"/>
              </w:rPr>
              <w:t xml:space="preserve">influence susceptibility to </w:t>
            </w:r>
            <w:r w:rsidRPr="00490428">
              <w:rPr>
                <w:rFonts w:asciiTheme="minorHAnsi" w:hAnsiTheme="minorHAnsi" w:cstheme="minorHAnsi"/>
                <w:i/>
                <w:iCs/>
                <w:lang w:val="en-US"/>
              </w:rPr>
              <w:t xml:space="preserve">P. vivax </w:t>
            </w:r>
            <w:r w:rsidRPr="00490428">
              <w:rPr>
                <w:rFonts w:asciiTheme="minorHAnsi" w:hAnsiTheme="minorHAnsi" w:cstheme="minorHAnsi"/>
                <w:lang w:val="en-US"/>
              </w:rPr>
              <w:t>infection.</w:t>
            </w:r>
          </w:p>
        </w:tc>
      </w:tr>
      <w:tr w:rsidR="00F47D79" w:rsidRPr="00F47D79" w14:paraId="7C38407B" w14:textId="77777777" w:rsidTr="001E411D">
        <w:tc>
          <w:tcPr>
            <w:tcW w:w="3681" w:type="dxa"/>
            <w:hideMark/>
          </w:tcPr>
          <w:p w14:paraId="130AC539"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HLA-B57 </w:t>
            </w:r>
            <w:r w:rsidRPr="00490428">
              <w:rPr>
                <w:rFonts w:asciiTheme="minorHAnsi" w:hAnsiTheme="minorHAnsi" w:cstheme="minorHAnsi"/>
                <w:b/>
                <w:bCs/>
                <w:lang w:val="en-US"/>
              </w:rPr>
              <w:t xml:space="preserve">gene and hepatitis C </w:t>
            </w:r>
          </w:p>
        </w:tc>
        <w:tc>
          <w:tcPr>
            <w:tcW w:w="5669" w:type="dxa"/>
            <w:hideMark/>
          </w:tcPr>
          <w:p w14:paraId="1F3CD807"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The HLA-B57 allele has been associated with a better response to treatment (more potent lymphocytes) and a lower viral load in persons infected with hepatitis C virus.</w:t>
            </w:r>
          </w:p>
        </w:tc>
      </w:tr>
      <w:tr w:rsidR="00F47D79" w:rsidRPr="00F47D79" w14:paraId="0BDB827C" w14:textId="77777777" w:rsidTr="001E411D">
        <w:tc>
          <w:tcPr>
            <w:tcW w:w="3681" w:type="dxa"/>
            <w:hideMark/>
          </w:tcPr>
          <w:p w14:paraId="150EBAE1"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IL12B </w:t>
            </w:r>
            <w:r w:rsidRPr="00490428">
              <w:rPr>
                <w:rFonts w:asciiTheme="minorHAnsi" w:hAnsiTheme="minorHAnsi" w:cstheme="minorHAnsi"/>
                <w:b/>
                <w:bCs/>
                <w:lang w:val="en-US"/>
              </w:rPr>
              <w:t xml:space="preserve">gene and leprosy </w:t>
            </w:r>
          </w:p>
        </w:tc>
        <w:tc>
          <w:tcPr>
            <w:tcW w:w="5669" w:type="dxa"/>
            <w:hideMark/>
          </w:tcPr>
          <w:p w14:paraId="7123F784"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Genetic variations in the </w:t>
            </w:r>
            <w:r w:rsidRPr="00490428">
              <w:rPr>
                <w:rFonts w:asciiTheme="minorHAnsi" w:hAnsiTheme="minorHAnsi" w:cstheme="minorHAnsi"/>
                <w:i/>
                <w:iCs/>
                <w:lang w:val="en-US"/>
              </w:rPr>
              <w:t xml:space="preserve">IL12B </w:t>
            </w:r>
            <w:r w:rsidRPr="00490428">
              <w:rPr>
                <w:rFonts w:asciiTheme="minorHAnsi" w:hAnsiTheme="minorHAnsi" w:cstheme="minorHAnsi"/>
                <w:lang w:val="en-US"/>
              </w:rPr>
              <w:t>gene, which encodes the p40 subunit of interleukin 12, influence susceptibility and severity of leprosy.</w:t>
            </w:r>
          </w:p>
        </w:tc>
      </w:tr>
      <w:tr w:rsidR="00F47D79" w:rsidRPr="00F47D79" w14:paraId="48C40D7D" w14:textId="77777777" w:rsidTr="001E411D">
        <w:tc>
          <w:tcPr>
            <w:tcW w:w="3681" w:type="dxa"/>
            <w:hideMark/>
          </w:tcPr>
          <w:p w14:paraId="7F298883"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TLR9 </w:t>
            </w:r>
            <w:r w:rsidRPr="00490428">
              <w:rPr>
                <w:rFonts w:asciiTheme="minorHAnsi" w:hAnsiTheme="minorHAnsi" w:cstheme="minorHAnsi"/>
                <w:b/>
                <w:bCs/>
                <w:lang w:val="en-US"/>
              </w:rPr>
              <w:t xml:space="preserve">gene and autoimmune diseases </w:t>
            </w:r>
          </w:p>
        </w:tc>
        <w:tc>
          <w:tcPr>
            <w:tcW w:w="5669" w:type="dxa"/>
            <w:hideMark/>
          </w:tcPr>
          <w:p w14:paraId="77671601"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 xml:space="preserve">TLR9 </w:t>
            </w:r>
            <w:r w:rsidRPr="00490428">
              <w:rPr>
                <w:rFonts w:asciiTheme="minorHAnsi" w:hAnsiTheme="minorHAnsi" w:cstheme="minorHAnsi"/>
                <w:lang w:val="en-US"/>
              </w:rPr>
              <w:t xml:space="preserve">gene encodes a pattern recognition receptor that detects bacterial and viral DNA sequences. Genetic variations in </w:t>
            </w:r>
            <w:r w:rsidRPr="00490428">
              <w:rPr>
                <w:rFonts w:asciiTheme="minorHAnsi" w:hAnsiTheme="minorHAnsi" w:cstheme="minorHAnsi"/>
                <w:i/>
                <w:iCs/>
                <w:lang w:val="en-US"/>
              </w:rPr>
              <w:t xml:space="preserve">TLR9 </w:t>
            </w:r>
            <w:r w:rsidRPr="00490428">
              <w:rPr>
                <w:rFonts w:asciiTheme="minorHAnsi" w:hAnsiTheme="minorHAnsi" w:cstheme="minorHAnsi"/>
                <w:lang w:val="en-US"/>
              </w:rPr>
              <w:t>have been associated with an increased risk of autoimmune diseases.</w:t>
            </w:r>
          </w:p>
        </w:tc>
      </w:tr>
      <w:tr w:rsidR="00F47D79" w:rsidRPr="00490428" w14:paraId="648C25DE" w14:textId="77777777" w:rsidTr="001E411D">
        <w:tc>
          <w:tcPr>
            <w:tcW w:w="3681" w:type="dxa"/>
            <w:hideMark/>
          </w:tcPr>
          <w:p w14:paraId="24464842"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CCL2 </w:t>
            </w:r>
            <w:r w:rsidRPr="00490428">
              <w:rPr>
                <w:rFonts w:asciiTheme="minorHAnsi" w:hAnsiTheme="minorHAnsi" w:cstheme="minorHAnsi"/>
                <w:b/>
                <w:bCs/>
                <w:lang w:val="en-US"/>
              </w:rPr>
              <w:t xml:space="preserve">gene and Chagas disease </w:t>
            </w:r>
          </w:p>
        </w:tc>
        <w:tc>
          <w:tcPr>
            <w:tcW w:w="5669" w:type="dxa"/>
            <w:hideMark/>
          </w:tcPr>
          <w:p w14:paraId="374EC945"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i/>
                <w:iCs/>
                <w:lang w:val="en-US"/>
              </w:rPr>
              <w:t xml:space="preserve">CCL2 </w:t>
            </w:r>
            <w:r w:rsidRPr="00490428">
              <w:rPr>
                <w:rFonts w:asciiTheme="minorHAnsi" w:hAnsiTheme="minorHAnsi" w:cstheme="minorHAnsi"/>
                <w:lang w:val="en-US"/>
              </w:rPr>
              <w:t xml:space="preserve">gene encodes the chemokine MCP1, involved in the inflammatory response. Genetic variations in </w:t>
            </w:r>
            <w:r w:rsidRPr="00490428">
              <w:rPr>
                <w:rFonts w:asciiTheme="minorHAnsi" w:hAnsiTheme="minorHAnsi" w:cstheme="minorHAnsi"/>
                <w:i/>
                <w:iCs/>
                <w:lang w:val="en-US"/>
              </w:rPr>
              <w:t xml:space="preserve">CCL2 </w:t>
            </w:r>
            <w:r w:rsidRPr="00490428">
              <w:rPr>
                <w:rFonts w:asciiTheme="minorHAnsi" w:hAnsiTheme="minorHAnsi" w:cstheme="minorHAnsi"/>
                <w:lang w:val="en-US"/>
              </w:rPr>
              <w:t>influence susceptibility to Chagas disease.</w:t>
            </w:r>
          </w:p>
        </w:tc>
      </w:tr>
      <w:tr w:rsidR="00F47D79" w:rsidRPr="00F47D79" w14:paraId="63747DD0" w14:textId="77777777" w:rsidTr="001E411D">
        <w:tc>
          <w:tcPr>
            <w:tcW w:w="3681" w:type="dxa"/>
            <w:hideMark/>
          </w:tcPr>
          <w:p w14:paraId="6F95B2A0" w14:textId="77777777" w:rsidR="00F47D79" w:rsidRPr="00490428" w:rsidRDefault="00F47D79" w:rsidP="001E411D">
            <w:pPr>
              <w:spacing w:line="240" w:lineRule="auto"/>
              <w:jc w:val="left"/>
              <w:rPr>
                <w:rFonts w:asciiTheme="minorHAnsi" w:hAnsiTheme="minorHAnsi" w:cstheme="minorHAnsi"/>
                <w:b/>
                <w:bCs/>
                <w:lang w:val="en-US"/>
              </w:rPr>
            </w:pPr>
            <w:r w:rsidRPr="00490428">
              <w:rPr>
                <w:rFonts w:asciiTheme="minorHAnsi" w:hAnsiTheme="minorHAnsi" w:cstheme="minorHAnsi"/>
                <w:b/>
                <w:bCs/>
                <w:i/>
                <w:iCs/>
                <w:lang w:val="en-US"/>
              </w:rPr>
              <w:t xml:space="preserve">MBL2 </w:t>
            </w:r>
            <w:r w:rsidRPr="00490428">
              <w:rPr>
                <w:rFonts w:asciiTheme="minorHAnsi" w:hAnsiTheme="minorHAnsi" w:cstheme="minorHAnsi"/>
                <w:b/>
                <w:bCs/>
                <w:lang w:val="en-US"/>
              </w:rPr>
              <w:t xml:space="preserve">gene and respiratory infections </w:t>
            </w:r>
          </w:p>
        </w:tc>
        <w:tc>
          <w:tcPr>
            <w:tcW w:w="5669" w:type="dxa"/>
            <w:hideMark/>
          </w:tcPr>
          <w:p w14:paraId="5CF2A36D" w14:textId="77777777" w:rsidR="00F47D79" w:rsidRPr="00490428" w:rsidRDefault="00F47D79" w:rsidP="001E411D">
            <w:pPr>
              <w:spacing w:line="240" w:lineRule="auto"/>
              <w:jc w:val="both"/>
              <w:rPr>
                <w:rFonts w:asciiTheme="minorHAnsi" w:hAnsiTheme="minorHAnsi" w:cstheme="minorHAnsi"/>
                <w:lang w:val="en-US"/>
              </w:rPr>
            </w:pPr>
            <w:r w:rsidRPr="00490428">
              <w:rPr>
                <w:rFonts w:asciiTheme="minorHAnsi" w:hAnsiTheme="minorHAnsi" w:cstheme="minorHAnsi"/>
                <w:lang w:val="en-US"/>
              </w:rPr>
              <w:t xml:space="preserve">Genetic variants in the </w:t>
            </w:r>
            <w:r w:rsidRPr="00490428">
              <w:rPr>
                <w:rFonts w:asciiTheme="minorHAnsi" w:hAnsiTheme="minorHAnsi" w:cstheme="minorHAnsi"/>
                <w:i/>
                <w:iCs/>
                <w:lang w:val="en-US"/>
              </w:rPr>
              <w:t xml:space="preserve">MBL2 </w:t>
            </w:r>
            <w:r w:rsidRPr="00490428">
              <w:rPr>
                <w:rFonts w:asciiTheme="minorHAnsi" w:hAnsiTheme="minorHAnsi" w:cstheme="minorHAnsi"/>
                <w:lang w:val="en-US"/>
              </w:rPr>
              <w:t>gene are associated with an increased risk of respiratory viral infections, such as influenza and Respiratory Syncytial Virus.</w:t>
            </w:r>
          </w:p>
        </w:tc>
      </w:tr>
    </w:tbl>
    <w:p w14:paraId="070B8003" w14:textId="77777777" w:rsidR="00F47D79" w:rsidRPr="00490428" w:rsidRDefault="00F47D79" w:rsidP="00F47D79">
      <w:pPr>
        <w:spacing w:line="240" w:lineRule="auto"/>
        <w:rPr>
          <w:rFonts w:cstheme="minorHAnsi"/>
          <w:sz w:val="24"/>
          <w:szCs w:val="24"/>
          <w:lang w:val="en-US"/>
        </w:rPr>
      </w:pPr>
    </w:p>
    <w:p w14:paraId="5F3AB8B2" w14:textId="77777777" w:rsidR="000E7F63" w:rsidRPr="00F47D79" w:rsidRDefault="000E7F63">
      <w:pPr>
        <w:rPr>
          <w:lang w:val="en-US"/>
        </w:rPr>
      </w:pPr>
    </w:p>
    <w:sectPr w:rsidR="000E7F63" w:rsidRPr="00F47D79">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79"/>
    <w:rsid w:val="000E7F63"/>
    <w:rsid w:val="001B336A"/>
    <w:rsid w:val="00276F0F"/>
    <w:rsid w:val="002D7CCD"/>
    <w:rsid w:val="00344DEC"/>
    <w:rsid w:val="00535516"/>
    <w:rsid w:val="00BD2D35"/>
    <w:rsid w:val="00E76EF6"/>
    <w:rsid w:val="00F4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193E"/>
  <w15:chartTrackingRefBased/>
  <w15:docId w15:val="{2DB20FF6-772B-4962-805F-11E951E1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7D79"/>
    <w:pPr>
      <w:spacing w:line="259" w:lineRule="auto"/>
    </w:pPr>
    <w:rPr>
      <w:kern w:val="0"/>
      <w:sz w:val="22"/>
      <w:szCs w:val="22"/>
      <w:lang w:val="es-EC"/>
      <w14:ligatures w14:val="none"/>
    </w:rPr>
  </w:style>
  <w:style w:type="paragraph" w:styleId="Titolo1">
    <w:name w:val="heading 1"/>
    <w:basedOn w:val="Normale"/>
    <w:next w:val="Normale"/>
    <w:link w:val="Titolo1Carattere"/>
    <w:uiPriority w:val="9"/>
    <w:qFormat/>
    <w:rsid w:val="00F47D7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Titolo2">
    <w:name w:val="heading 2"/>
    <w:basedOn w:val="Normale"/>
    <w:next w:val="Normale"/>
    <w:link w:val="Titolo2Carattere"/>
    <w:uiPriority w:val="9"/>
    <w:semiHidden/>
    <w:unhideWhenUsed/>
    <w:qFormat/>
    <w:rsid w:val="00F47D7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Titolo3">
    <w:name w:val="heading 3"/>
    <w:basedOn w:val="Normale"/>
    <w:next w:val="Normale"/>
    <w:link w:val="Titolo3Carattere"/>
    <w:uiPriority w:val="9"/>
    <w:semiHidden/>
    <w:unhideWhenUsed/>
    <w:qFormat/>
    <w:rsid w:val="00F47D79"/>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Titolo4">
    <w:name w:val="heading 4"/>
    <w:basedOn w:val="Normale"/>
    <w:next w:val="Normale"/>
    <w:link w:val="Titolo4Carattere"/>
    <w:uiPriority w:val="9"/>
    <w:semiHidden/>
    <w:unhideWhenUsed/>
    <w:qFormat/>
    <w:rsid w:val="00F47D79"/>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Titolo5">
    <w:name w:val="heading 5"/>
    <w:basedOn w:val="Normale"/>
    <w:next w:val="Normale"/>
    <w:link w:val="Titolo5Carattere"/>
    <w:uiPriority w:val="9"/>
    <w:semiHidden/>
    <w:unhideWhenUsed/>
    <w:qFormat/>
    <w:rsid w:val="00F47D79"/>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Titolo6">
    <w:name w:val="heading 6"/>
    <w:basedOn w:val="Normale"/>
    <w:next w:val="Normale"/>
    <w:link w:val="Titolo6Carattere"/>
    <w:uiPriority w:val="9"/>
    <w:semiHidden/>
    <w:unhideWhenUsed/>
    <w:qFormat/>
    <w:rsid w:val="00F47D79"/>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Titolo7">
    <w:name w:val="heading 7"/>
    <w:basedOn w:val="Normale"/>
    <w:next w:val="Normale"/>
    <w:link w:val="Titolo7Carattere"/>
    <w:uiPriority w:val="9"/>
    <w:semiHidden/>
    <w:unhideWhenUsed/>
    <w:qFormat/>
    <w:rsid w:val="00F47D79"/>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Titolo8">
    <w:name w:val="heading 8"/>
    <w:basedOn w:val="Normale"/>
    <w:next w:val="Normale"/>
    <w:link w:val="Titolo8Carattere"/>
    <w:uiPriority w:val="9"/>
    <w:semiHidden/>
    <w:unhideWhenUsed/>
    <w:qFormat/>
    <w:rsid w:val="00F47D79"/>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Titolo9">
    <w:name w:val="heading 9"/>
    <w:basedOn w:val="Normale"/>
    <w:next w:val="Normale"/>
    <w:link w:val="Titolo9Carattere"/>
    <w:uiPriority w:val="9"/>
    <w:semiHidden/>
    <w:unhideWhenUsed/>
    <w:qFormat/>
    <w:rsid w:val="00F47D79"/>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7D7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47D7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47D7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47D7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47D7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47D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47D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47D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7D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F47D7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oloCarattere">
    <w:name w:val="Titolo Carattere"/>
    <w:basedOn w:val="Carpredefinitoparagrafo"/>
    <w:link w:val="Titolo"/>
    <w:uiPriority w:val="10"/>
    <w:rsid w:val="00F47D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47D79"/>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ottotitoloCarattere">
    <w:name w:val="Sottotitolo Carattere"/>
    <w:basedOn w:val="Carpredefinitoparagrafo"/>
    <w:link w:val="Sottotitolo"/>
    <w:uiPriority w:val="11"/>
    <w:rsid w:val="00F47D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7D79"/>
    <w:pPr>
      <w:spacing w:before="160" w:line="278" w:lineRule="auto"/>
      <w:jc w:val="center"/>
    </w:pPr>
    <w:rPr>
      <w:i/>
      <w:iCs/>
      <w:color w:val="404040" w:themeColor="text1" w:themeTint="BF"/>
      <w:kern w:val="2"/>
      <w:sz w:val="24"/>
      <w:szCs w:val="24"/>
      <w:lang w:val="en-US"/>
      <w14:ligatures w14:val="standardContextual"/>
    </w:rPr>
  </w:style>
  <w:style w:type="character" w:customStyle="1" w:styleId="CitazioneCarattere">
    <w:name w:val="Citazione Carattere"/>
    <w:basedOn w:val="Carpredefinitoparagrafo"/>
    <w:link w:val="Citazione"/>
    <w:uiPriority w:val="29"/>
    <w:rsid w:val="00F47D79"/>
    <w:rPr>
      <w:i/>
      <w:iCs/>
      <w:color w:val="404040" w:themeColor="text1" w:themeTint="BF"/>
    </w:rPr>
  </w:style>
  <w:style w:type="paragraph" w:styleId="Paragrafoelenco">
    <w:name w:val="List Paragraph"/>
    <w:basedOn w:val="Normale"/>
    <w:uiPriority w:val="34"/>
    <w:qFormat/>
    <w:rsid w:val="00F47D79"/>
    <w:pPr>
      <w:spacing w:line="278" w:lineRule="auto"/>
      <w:ind w:left="720"/>
      <w:contextualSpacing/>
    </w:pPr>
    <w:rPr>
      <w:kern w:val="2"/>
      <w:sz w:val="24"/>
      <w:szCs w:val="24"/>
      <w:lang w:val="en-US"/>
      <w14:ligatures w14:val="standardContextual"/>
    </w:rPr>
  </w:style>
  <w:style w:type="character" w:styleId="Enfasiintensa">
    <w:name w:val="Intense Emphasis"/>
    <w:basedOn w:val="Carpredefinitoparagrafo"/>
    <w:uiPriority w:val="21"/>
    <w:qFormat/>
    <w:rsid w:val="00F47D79"/>
    <w:rPr>
      <w:i/>
      <w:iCs/>
      <w:color w:val="2F5496" w:themeColor="accent1" w:themeShade="BF"/>
    </w:rPr>
  </w:style>
  <w:style w:type="paragraph" w:styleId="Citazioneintensa">
    <w:name w:val="Intense Quote"/>
    <w:basedOn w:val="Normale"/>
    <w:next w:val="Normale"/>
    <w:link w:val="CitazioneintensaCarattere"/>
    <w:uiPriority w:val="30"/>
    <w:qFormat/>
    <w:rsid w:val="00F47D7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CitazioneintensaCarattere">
    <w:name w:val="Citazione intensa Carattere"/>
    <w:basedOn w:val="Carpredefinitoparagrafo"/>
    <w:link w:val="Citazioneintensa"/>
    <w:uiPriority w:val="30"/>
    <w:rsid w:val="00F47D79"/>
    <w:rPr>
      <w:i/>
      <w:iCs/>
      <w:color w:val="2F5496" w:themeColor="accent1" w:themeShade="BF"/>
    </w:rPr>
  </w:style>
  <w:style w:type="character" w:styleId="Riferimentointenso">
    <w:name w:val="Intense Reference"/>
    <w:basedOn w:val="Carpredefinitoparagrafo"/>
    <w:uiPriority w:val="32"/>
    <w:qFormat/>
    <w:rsid w:val="00F47D79"/>
    <w:rPr>
      <w:b/>
      <w:bCs/>
      <w:smallCaps/>
      <w:color w:val="2F5496" w:themeColor="accent1" w:themeShade="BF"/>
      <w:spacing w:val="5"/>
    </w:rPr>
  </w:style>
  <w:style w:type="table" w:customStyle="1" w:styleId="Mdeck5tablebodythreelines">
    <w:name w:val="M_deck_5_table_body_three_lines"/>
    <w:basedOn w:val="Tabellanormale"/>
    <w:uiPriority w:val="99"/>
    <w:rsid w:val="00F47D79"/>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4490</Words>
  <Characters>25596</Characters>
  <Application>Microsoft Office Word</Application>
  <DocSecurity>0</DocSecurity>
  <Lines>213</Lines>
  <Paragraphs>60</Paragraphs>
  <ScaleCrop>false</ScaleCrop>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DOMENICA D'ELIA</cp:lastModifiedBy>
  <cp:revision>5</cp:revision>
  <dcterms:created xsi:type="dcterms:W3CDTF">2025-07-10T14:17:00Z</dcterms:created>
  <dcterms:modified xsi:type="dcterms:W3CDTF">2025-07-17T10:40:00Z</dcterms:modified>
</cp:coreProperties>
</file>