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E416" w14:textId="08C53509" w:rsidR="00B01C37" w:rsidRDefault="00B01C37" w:rsidP="00B01C37">
      <w:pPr>
        <w:pStyle w:val="MDPI31text"/>
        <w:ind w:left="0" w:firstLine="0"/>
      </w:pPr>
      <w:r>
        <w:rPr>
          <w:b/>
        </w:rPr>
        <w:t xml:space="preserve">Table </w:t>
      </w:r>
      <w:r w:rsidR="001A1D7B">
        <w:rPr>
          <w:b/>
        </w:rPr>
        <w:t>3</w:t>
      </w:r>
      <w:r>
        <w:rPr>
          <w:b/>
        </w:rPr>
        <w:t xml:space="preserve">. </w:t>
      </w:r>
      <w:r w:rsidRPr="00C44645">
        <w:t>Comparison of bioinformatics tools and parameters used at specific stages of the analysis by Ds-</w:t>
      </w:r>
      <w:proofErr w:type="gramStart"/>
      <w:r w:rsidRPr="00C44645">
        <w:t>Seq</w:t>
      </w:r>
      <w:proofErr w:type="gramEnd"/>
      <w:r w:rsidRPr="00C44645">
        <w:t xml:space="preserve"> and the independent </w:t>
      </w:r>
      <w:r>
        <w:t>investigation</w:t>
      </w:r>
      <w:r w:rsidRPr="00C44645">
        <w:t xml:space="preserve"> of the published datasets used to test Ds-Seq</w:t>
      </w:r>
      <w:r>
        <w:t>.</w:t>
      </w:r>
    </w:p>
    <w:p w14:paraId="6A17E081" w14:textId="77777777" w:rsidR="00B01C37" w:rsidRDefault="00B01C37" w:rsidP="00B01C37">
      <w:pPr>
        <w:pStyle w:val="MDPI31text"/>
      </w:pPr>
    </w:p>
    <w:tbl>
      <w:tblPr>
        <w:tblStyle w:val="TableGrid"/>
        <w:tblW w:w="9881" w:type="dxa"/>
        <w:tblBorders>
          <w:left w:val="none" w:sz="0" w:space="0" w:color="auto"/>
          <w:right w:val="none" w:sz="0" w:space="0" w:color="auto"/>
        </w:tblBorders>
        <w:tblLook w:val="04A0" w:firstRow="1" w:lastRow="0" w:firstColumn="1" w:lastColumn="0" w:noHBand="0" w:noVBand="1"/>
      </w:tblPr>
      <w:tblGrid>
        <w:gridCol w:w="1701"/>
        <w:gridCol w:w="1554"/>
        <w:gridCol w:w="1423"/>
        <w:gridCol w:w="2930"/>
        <w:gridCol w:w="2273"/>
      </w:tblGrid>
      <w:tr w:rsidR="00B01C37" w:rsidRPr="0080381F" w14:paraId="096AC9D8" w14:textId="77777777" w:rsidTr="00693DCD">
        <w:tc>
          <w:tcPr>
            <w:tcW w:w="1701" w:type="dxa"/>
            <w:tcBorders>
              <w:bottom w:val="single" w:sz="4" w:space="0" w:color="auto"/>
              <w:right w:val="nil"/>
            </w:tcBorders>
          </w:tcPr>
          <w:p w14:paraId="310C9DC4"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Analysis</w:t>
            </w:r>
          </w:p>
        </w:tc>
        <w:tc>
          <w:tcPr>
            <w:tcW w:w="1554" w:type="dxa"/>
            <w:tcBorders>
              <w:left w:val="nil"/>
              <w:bottom w:val="single" w:sz="4" w:space="0" w:color="auto"/>
              <w:right w:val="nil"/>
            </w:tcBorders>
          </w:tcPr>
          <w:p w14:paraId="4C0D2711"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Adapter removal</w:t>
            </w:r>
          </w:p>
        </w:tc>
        <w:tc>
          <w:tcPr>
            <w:tcW w:w="1423" w:type="dxa"/>
            <w:tcBorders>
              <w:left w:val="nil"/>
              <w:bottom w:val="single" w:sz="4" w:space="0" w:color="auto"/>
              <w:right w:val="nil"/>
            </w:tcBorders>
          </w:tcPr>
          <w:p w14:paraId="2FA0A03A"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Reads mapping (parameters)</w:t>
            </w:r>
          </w:p>
        </w:tc>
        <w:tc>
          <w:tcPr>
            <w:tcW w:w="2930" w:type="dxa"/>
            <w:tcBorders>
              <w:left w:val="nil"/>
              <w:bottom w:val="single" w:sz="4" w:space="0" w:color="auto"/>
              <w:right w:val="nil"/>
            </w:tcBorders>
          </w:tcPr>
          <w:p w14:paraId="402F9DDF"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Differential expression (parameters)</w:t>
            </w:r>
          </w:p>
        </w:tc>
        <w:tc>
          <w:tcPr>
            <w:tcW w:w="2273" w:type="dxa"/>
            <w:tcBorders>
              <w:left w:val="nil"/>
              <w:bottom w:val="single" w:sz="4" w:space="0" w:color="auto"/>
            </w:tcBorders>
          </w:tcPr>
          <w:p w14:paraId="7DC854D1"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Conserved miRNAs reference</w:t>
            </w:r>
          </w:p>
        </w:tc>
      </w:tr>
      <w:tr w:rsidR="00B01C37" w:rsidRPr="0080381F" w14:paraId="5F7CEB1E" w14:textId="77777777" w:rsidTr="00693DCD">
        <w:tc>
          <w:tcPr>
            <w:tcW w:w="1701" w:type="dxa"/>
            <w:tcBorders>
              <w:bottom w:val="nil"/>
              <w:right w:val="nil"/>
            </w:tcBorders>
          </w:tcPr>
          <w:p w14:paraId="60CE16F1"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Ds-Seq</w:t>
            </w:r>
          </w:p>
        </w:tc>
        <w:tc>
          <w:tcPr>
            <w:tcW w:w="1554" w:type="dxa"/>
            <w:tcBorders>
              <w:left w:val="nil"/>
              <w:bottom w:val="nil"/>
              <w:right w:val="nil"/>
            </w:tcBorders>
          </w:tcPr>
          <w:p w14:paraId="5D531396"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In-house Perl script</w:t>
            </w:r>
          </w:p>
        </w:tc>
        <w:tc>
          <w:tcPr>
            <w:tcW w:w="1423" w:type="dxa"/>
            <w:tcBorders>
              <w:left w:val="nil"/>
              <w:bottom w:val="nil"/>
              <w:right w:val="nil"/>
            </w:tcBorders>
          </w:tcPr>
          <w:p w14:paraId="57233AE1"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Bowtie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{"citationItems":[{"id":"ITEM-1","itemData":{"DOI":"10.1186/gb-2009-10-3-r25","ISSN":"14747596","PMID":"19261174","abstract":"Bowtie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 © 2009 Langmead et al.; licensee BioMed Central Ltd.","author":[{"dropping-particle":"","family":"Langmead","given":"Ben","non-dropping-particle":"","parse-names":false,"suffix":""},{"dropping-particle":"","family":"Trapnell","given":"Cole","non-dropping-particle":"","parse-names":false,"suffix":""},{"dropping-particle":"","family":"Pop","given":"Mihai","non-dropping-particle":"","parse-names":false,"suffix":""},{"dropping-particle":"","family":"Salzberg","given":"Steven L.","non-dropping-particle":"","parse-names":false,"suffix":""}],"container-title":"Genome Biology","id":"ITEM-1","issue":"3","issued":{"date-parts":[["2009"]]},"title":"Ultrafast and memory-efficient alignment of short DNA sequences to the human genome","type":"article-journal","volume":"10"},"uris":["http://www.mendeley.com/documents/?uuid=f0a59fd0-189c-44a2-b02d-9583c86c130c"]}],"mendeley":{"formattedCitation":"(20)","plainTextFormattedCitation":"(20)","previouslyFormattedCitation":"[24]"},"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rPr>
                <w:rFonts w:eastAsia="Times New Roman"/>
                <w:noProof w:val="0"/>
                <w:snapToGrid w:val="0"/>
                <w:szCs w:val="22"/>
                <w:lang w:eastAsia="de-DE" w:bidi="en-US"/>
              </w:rPr>
              <w:t>Langmead et al., 2009</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sidRPr="00C44645">
              <w:rPr>
                <w:rFonts w:eastAsia="Times New Roman"/>
                <w:noProof w:val="0"/>
                <w:snapToGrid w:val="0"/>
                <w:szCs w:val="22"/>
                <w:lang w:eastAsia="de-DE" w:bidi="en-US"/>
              </w:rPr>
              <w:t xml:space="preserve"> (-a --best)*</w:t>
            </w:r>
          </w:p>
        </w:tc>
        <w:tc>
          <w:tcPr>
            <w:tcW w:w="2930" w:type="dxa"/>
            <w:tcBorders>
              <w:left w:val="nil"/>
              <w:bottom w:val="nil"/>
              <w:right w:val="nil"/>
            </w:tcBorders>
          </w:tcPr>
          <w:p w14:paraId="7D96BE53"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edgeR</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{"citationItems":[{"id":"ITEM-1","itemData":{"DOI":"10.1093/bioinformatics/btp616","ISSN":"14602059","PMID":"19910308","abstract":"It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 The Author(s) 2009. Published by Oxford University Press.","author":[{"dropping-particle":"","family":"Robinson","given":"Mark D.","non-dropping-particle":"","parse-names":false,"suffix":""},{"dropping-particle":"","family":"McCarthy","given":"Davis J.","non-dropping-particle":"","parse-names":false,"suffix":""},{"dropping-particle":"","family":"Smyth","given":"Gordon K.","non-dropping-particle":"","parse-names":false,"suffix":""}],"container-title":"Bioinformatics","id":"ITEM-1","issue":"1","issued":{"date-parts":[["2009"]]},"page":"139-140","title":"edgeR: A Bioconductor package for differential expression analysis of digital gene expression data","type":"article-journal","volume":"26"},"uris":["http://www.mendeley.com/documents/?uuid=8717a635-9221-43d3-8ef4-17d35cbaef91"]},{"id":"ITEM-2","itemData":{"DOI":"10.1093/nar/gks042","ISSN":"03051048","PMID":"22287627","abstract":"A flexible statistical framework is developed for the analysis of read counts from RNA-Seq gene expression studies. It provides the ability to analyse complex experiments involving multiple treatment conditions and blocking variables while still taking full account of biological variation. Biological variation between RNA samples is estimated separately from the technical variation associated with sequencing technologies. Novel empirical Bayes methods allow each gene to have its own specific variability, even when there are relatively few biological replicates from which to estimate such variability. The pipeline is implemented in the edgeR package of the Bioconductor project. A case study analysis of carcinoma data demonstrates the ability of generalized linear model methods (GLMs) to detect differential expression in a paired design, and even to detect tumour-specific expression changes. The case study demonstrates the need to allow for gene-specific variability, rather than assuming a common dispersion across genes or a fixed relationship between abundance and variability. Genewise dispersions de-prioritize genes with inconsistent results and allow the main analysis to focus on changes that are consistent between biological replicates. Parallel computational approaches are developed to make non-linear model fitting faster and more reliable, making the application of GLMs to genomic data more convenient and practical. Simulations demonstrate the ability of adjusted profile likelihood estimators to return accurate estimators of biological variability in complex situations. When variation is gene-specific, empirical Bayes estimators provide an advantageous compromise between the extremes of assuming common dispersion or separate genewise dispersion. The methods developed here can also be applied to count data arising from DNA-Seq applications, including ChIP-Seq for epigenetic marks and DNA methylation analyses. © 2011 The Author(s).","author":[{"dropping-particle":"","family":"McCarthy","given":"Davis J.","non-dropping-particle":"","parse-names":false,"suffix":""},{"dropping-particle":"","family":"Chen","given":"Yunshun","non-dropping-particle":"","parse-names":false,"suffix":""},{"dropping-particle":"","family":"Smyth","given":"Gordon K.","non-dropping-particle":"","parse-names":false,"suffix":""}],"container-title":"Nucleic Acids Research","id":"ITEM-2","issue":"10","issued":{"date-parts":[["2012"]]},"page":"4288-4297","title":"Differential expression analysis of multifactor RNA-Seq experiments with respect to biological variation","type":"article-journal","volume":"40"},"uris":["http://www.mendeley.com/documents/?uuid=516a54a3-f5e8-497f-b82c-861c932a6049"]}],"mendeley":{"formattedCitation":"(23, 24)","plainTextFormattedCitation":"(23, 24)","previouslyFormattedCitation":"[27], [28]"},"properties":{"noteIndex":0},"schema":"https://github.com/citation-style-language/schema/raw/master/csl-citation.json"}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Robinson et al., 2009;</w:t>
            </w:r>
            <w:r w:rsidRPr="00913A8E">
              <w:t xml:space="preserve"> </w:t>
            </w:r>
            <w:r>
              <w:t>McCarthy et al., 2012</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sidRPr="00C44645">
              <w:rPr>
                <w:rFonts w:eastAsia="Times New Roman"/>
                <w:noProof w:val="0"/>
                <w:snapToGrid w:val="0"/>
                <w:szCs w:val="22"/>
                <w:lang w:eastAsia="de-DE" w:bidi="en-US"/>
              </w:rPr>
              <w:t xml:space="preserve"> (p-value &lt; 0.05)</w:t>
            </w:r>
          </w:p>
        </w:tc>
        <w:tc>
          <w:tcPr>
            <w:tcW w:w="2273" w:type="dxa"/>
            <w:tcBorders>
              <w:left w:val="nil"/>
              <w:bottom w:val="nil"/>
            </w:tcBorders>
          </w:tcPr>
          <w:p w14:paraId="1B106845"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mirBase</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{"citationItems":[{"id":"ITEM-1","itemData":{"DOI":"10.1093/nar/gky1141","ISSN":"13624962","PMID":"30423142","abstract":"miRBase catalogs, names and distributes microRNA gene sequences. The latest release of miRBase (v22) contains microRNA sequences from 271 organisms: 38 589 hairpin precursors and 48 860 mature microRNAs. We describe improvements to the database and website to provide more information about the quality of microRNA gene annotations, and the cellular functions of their products. We have collected 1493 small RNA deep sequencing datasets and mapped a total of 5.5 billion reads to microRNA sequences. The read mapping patterns provide strong support for the validity of between 20% and 65% of microRNA annotations in different well-studied animal genomes, and evidence for the removal of &gt;200 sequences from the database. To improve the availability of microRNA functional information, we are disseminating Gene Ontology terms annotated against miRBase sequences. We have also used a text-mining approach to search for microRNA gene names in the full-Text of open access articles. Over 500 000 sentences from 18 542 papers contain microRNA names. We score these sentences for functional information and link them with 12 519 microRNA entries. The sentences themselves, and word clouds built from them, provide effective summaries of the functional information about specific microRNAs. miRBase is publicly and freely available at http://mirbase.org/.","author":[{"dropping-particle":"","family":"Kozomara","given":"Ana","non-dropping-particle":"","parse-names":false,"suffix":""},{"dropping-particle":"","family":"Birgaoanu","given":"Maria","non-dropping-particle":"","parse-names":false,"suffix":""},{"dropping-particle":"","family":"Griffiths-Jones","given":"Sam","non-dropping-particle":"","parse-names":false,"suffix":""}],"container-title":"Nucleic Acids Research","id":"ITEM-1","issue":"D1","issued":{"date-parts":[["2019"]]},"page":"D155-D162","publisher":"Oxford University Press","title":"MiRBase: From microRNA sequences to function","type":"article-journal","volume":"47"},"uris":["http://www.mendeley.com/documents/?uuid=90358338-7122-4dd9-b220-93319d30b1ac"]}],"mendeley":{"formattedCitation":"(26)","plainTextFormattedCitation":"(26)","previouslyFormattedCitation":"[30]"},"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proofErr w:type="spellStart"/>
            <w:r>
              <w:rPr>
                <w:rFonts w:eastAsia="Times New Roman"/>
                <w:noProof w:val="0"/>
                <w:snapToGrid w:val="0"/>
                <w:szCs w:val="22"/>
                <w:lang w:eastAsia="de-DE" w:bidi="en-US"/>
              </w:rPr>
              <w:t>Kozomara</w:t>
            </w:r>
            <w:proofErr w:type="spellEnd"/>
            <w:r>
              <w:rPr>
                <w:rFonts w:eastAsia="Times New Roman"/>
                <w:noProof w:val="0"/>
                <w:snapToGrid w:val="0"/>
                <w:szCs w:val="22"/>
                <w:lang w:eastAsia="de-DE" w:bidi="en-US"/>
              </w:rPr>
              <w:t xml:space="preserve"> et al., 2019</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r>
      <w:tr w:rsidR="00B01C37" w:rsidRPr="0080381F" w14:paraId="42E49A6D" w14:textId="77777777" w:rsidTr="00693DCD">
        <w:tc>
          <w:tcPr>
            <w:tcW w:w="1701" w:type="dxa"/>
            <w:tcBorders>
              <w:top w:val="nil"/>
              <w:bottom w:val="nil"/>
              <w:right w:val="nil"/>
            </w:tcBorders>
          </w:tcPr>
          <w:p w14:paraId="5654C5BF"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Study A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{"citationItems":[{"id":"ITEM-1","itemData":{"DOI":"10.1186/s12870-018-1438-7","ISSN":"14712229","PMID":"30286719","abstract":"Background: Most plant viruses depend on vector insects for transmission. Upon viral infection, virus-derived small interfering RNAs (vsiRNAs) can target both viral and host transcripts. Rice stripe virus (RSV) is a persistent-propagative virus transmitted by the small brown planthopper (Laodelphax striatellus, Fallen) and can cause a severe disease on rice. Results: To investigate how vsiRNAs regulate gene expressions in the host plant and the insect vector, we analyzed the expression profiles of small RNAs (sRNAs) and mRNAs in RSV-infected rice and RSV-infected planthopper. We obtained 88,247 vsiRNAs in rice that were predominantly derived from the terminal regions of the RSV RNA segments, and 351,655 vsiRNAs in planthopper that displayed relatively even distributions on RSV RNA segments. 38,112 and 80,698 unique vsiRNAs were found only in rice and planthopper, respectively, while 14,006 unique vsiRNAs were found in both of them. Compared to mock-inoculated rice, 273 genes were significantly down-regulated genes (DRGs) in RSV-infected rice, among which 192 (70.3%) were potential targets of vsiRNAs based on sequence complementarity. Gene ontology (GO) analysis revealed that these 192 DRGs were enriched in genes involved in kinase activity, carbohydrate binding and protein binding. Similarly, 265 DRGs were identified in RSV-infected planthoppers, among which 126 (47.5%) were potential targets of vsiRNAs. These planthopper target genes were enriched in genes that are involved in structural constituent of cuticle, serine-type endopeptidase activity, and oxidoreductase activity. Conclusions: Taken together, our results reveal that infection by the same virus can generate distinct vsiRNAs in different hosts to potentially regulate different biological processes, thus reflecting distinct virus-host interactions.","author":[{"dropping-particle":"","family":"Yang","given":"Meiling","non-dropping-particle":"","parse-names":false,"suffix":""},{"dropping-particle":"","family":"Xu","given":"Zhongtian","non-dropping-particle":"","parse-names":false,"suffix":""},{"dropping-particle":"","family":"Zhao","given":"Wan","non-dropping-particle":"","parse-names":false,"suffix":""},{"dropping-particle":"","family":"Liu","given":"Qing","non-dropping-particle":"","parse-names":false,"suffix":""},{"dropping-particle":"","family":"Li","given":"Qiong","non-dropping-particle":"","parse-names":false,"suffix":""},{"dropping-particle":"","family":"Lu","given":"Lu","non-dropping-particle":"","parse-names":false,"suffix":""},{"dropping-particle":"","family":"Liu","given":"Renyi","non-dropping-particle":"","parse-names":false,"suffix":""},{"dropping-particle":"","family":"Zhang","given":"Xiaoming","non-dropping-particle":"","parse-names":false,"suffix":""},{"dropping-particle":"","family":"Cui","given":"Feng","non-dropping-particle":"","parse-names":false,"suffix":""}],"container-title":"BMC Plant Biology","id":"ITEM-1","issue":"1","issued":{"date-parts":[["2018"]]},"page":"1-13","title":"Rice stripe virus-derived siRNAs play different regulatory roles in rice and in the insect vector Laodelphax striatellus","type":"article-journal","volume":"18"},"uris":["http://www.mendeley.com/documents/?uuid=263d2b03-e3a8-4bc9-a38a-9540616dea30"]}],"mendeley":{"formattedCitation":"(29)","plainTextFormattedCitation":"(29)","previouslyFormattedCitation":"[33]"},"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Yang et al., 2018</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c>
          <w:tcPr>
            <w:tcW w:w="1554" w:type="dxa"/>
            <w:tcBorders>
              <w:top w:val="nil"/>
              <w:left w:val="nil"/>
              <w:bottom w:val="nil"/>
              <w:right w:val="nil"/>
            </w:tcBorders>
          </w:tcPr>
          <w:p w14:paraId="0D332727"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Cutadapt</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author":[{"dropping-particle":"","family":"Martin","given":"Marcel","non-dropping-particle":"","parse-names":false,"suffix":""}],"container-title":"EMBnet.journal","id":"ITEM-1","issued":{"date-parts":[["2011"]]},"page":"10-12","title":"Cutadapt removes adapter sequences from high-throughput sequencing reads","type":"article-journal","volume":"17"},"uris":["http://www.mendeley.com/documents/?uuid=15bbb1bf-0667-464e-b398-c30f1d93fe0a"]}],"mendeley":{"formattedCitation":"(36)","plainTextFormattedCitation":"(36)","previouslyFormattedCitation":"[40]"},"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w:t>
            </w:r>
            <w:r w:rsidRPr="005C4432">
              <w:rPr>
                <w:rFonts w:eastAsia="Times New Roman"/>
                <w:noProof w:val="0"/>
                <w:snapToGrid w:val="0"/>
                <w:szCs w:val="22"/>
                <w:lang w:eastAsia="de-DE" w:bidi="en-US"/>
              </w:rPr>
              <w:t>Martin, 2011</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c>
          <w:tcPr>
            <w:tcW w:w="1423" w:type="dxa"/>
            <w:tcBorders>
              <w:top w:val="nil"/>
              <w:left w:val="nil"/>
              <w:bottom w:val="nil"/>
              <w:right w:val="nil"/>
            </w:tcBorders>
          </w:tcPr>
          <w:p w14:paraId="7E71B2D2"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Bowtie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{"citationItems":[{"id":"ITEM-1","itemData":{"DOI":"10.1186/gb-2009-10-3-r25","ISSN":"14747596","PMID":"19261174","abstract":"Bowtie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 © 2009 Langmead et al.; licensee BioMed Central Ltd.","author":[{"dropping-particle":"","family":"Langmead","given":"Ben","non-dropping-particle":"","parse-names":false,"suffix":""},{"dropping-particle":"","family":"Trapnell","given":"Cole","non-dropping-particle":"","parse-names":false,"suffix":""},{"dropping-particle":"","family":"Pop","given":"Mihai","non-dropping-particle":"","parse-names":false,"suffix":""},{"dropping-particle":"","family":"Salzberg","given":"Steven L.","non-dropping-particle":"","parse-names":false,"suffix":""}],"container-title":"Genome Biology","id":"ITEM-1","issue":"3","issued":{"date-parts":[["2009"]]},"title":"Ultrafast and memory-efficient alignment of short DNA sequences to the human genome","type":"article-journal","volume":"10"},"uris":["http://www.mendeley.com/documents/?uuid=f0a59fd0-189c-44a2-b02d-9583c86c130c"]}],"mendeley":{"formattedCitation":"(20)","plainTextFormattedCitation":"(20)","previouslyFormattedCitation":"[24]"},"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rPr>
                <w:rFonts w:eastAsia="Times New Roman"/>
                <w:noProof w:val="0"/>
                <w:snapToGrid w:val="0"/>
                <w:szCs w:val="22"/>
                <w:lang w:eastAsia="de-DE" w:bidi="en-US"/>
              </w:rPr>
              <w:t xml:space="preserve"> Langmead et al., 2009</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c>
          <w:tcPr>
            <w:tcW w:w="2930" w:type="dxa"/>
            <w:tcBorders>
              <w:top w:val="nil"/>
              <w:left w:val="nil"/>
              <w:bottom w:val="nil"/>
              <w:right w:val="nil"/>
            </w:tcBorders>
          </w:tcPr>
          <w:p w14:paraId="6AE61035"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edgeR</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{"citationItems":[{"id":"ITEM-1","itemData":{"DOI":"10.1093/bioinformatics/btp616","ISSN":"14602059","PMID":"19910308","abstract":"It is expected that emerging digital gene expression (DGE) technologies will overtake microarray technologies in the near future for many functional genomics applications. One of the fundamental data analysis tasks, especially for gene expression studies, involves determining whether there is evidence that counts for a transcript or exon are significantly different across experimental conditions. edgeR is a Bioconductor software package for examining differential expression of replicated count data. An overdispersed Poisson model is used to account for both biological and technical variability. Empirical Bayes methods are used to moderate the degree of overdispersion across transcripts, improving the reliability of inference. The methodology can be used even with the most minimal levels of replication, provided at least one phenotype or experimental condition is replicated. The software may have other applications beyond sequencing data, such as proteome peptide count data. © The Author(s) 2009. Published by Oxford University Press.","author":[{"dropping-particle":"","family":"Robinson","given":"Mark D.","non-dropping-particle":"","parse-names":false,"suffix":""},{"dropping-particle":"","family":"McCarthy","given":"Davis J.","non-dropping-particle":"","parse-names":false,"suffix":""},{"dropping-particle":"","family":"Smyth","given":"Gordon K.","non-dropping-particle":"","parse-names":false,"suffix":""}],"container-title":"Bioinformatics","id":"ITEM-1","issue":"1","issued":{"date-parts":[["2009"]]},"page":"139-140","title":"edgeR: A Bioconductor package for differential expression analysis of digital gene expression data","type":"article-journal","volume":"26"},"uris":["http://www.mendeley.com/documents/?uuid=8717a635-9221-43d3-8ef4-17d35cbaef91"]},{"id":"ITEM-2","itemData":{"DOI":"10.1093/nar/gks042","ISSN":"03051048","PMID":"22287627","abstract":"A flexible statistical framework is developed for the analysis of read counts from RNA-Seq gene expression studies. It provides the ability to analyse complex experiments involving multiple treatment conditions and blocking variables while still taking full account of biological variation. Biological variation between RNA samples is estimated separately from the technical variation associated with sequencing technologies. Novel empirical Bayes methods allow each gene to have its own specific variability, even when there are relatively few biological replicates from which to estimate such variability. The pipeline is implemented in the edgeR package of the Bioconductor project. A case study analysis of carcinoma data demonstrates the ability of generalized linear model methods (GLMs) to detect differential expression in a paired design, and even to detect tumour-specific expression changes. The case study demonstrates the need to allow for gene-specific variability, rather than assuming a common dispersion across genes or a fixed relationship between abundance and variability. Genewise dispersions de-prioritize genes with inconsistent results and allow the main analysis to focus on changes that are consistent between biological replicates. Parallel computational approaches are developed to make non-linear model fitting faster and more reliable, making the application of GLMs to genomic data more convenient and practical. Simulations demonstrate the ability of adjusted profile likelihood estimators to return accurate estimators of biological variability in complex situations. When variation is gene-specific, empirical Bayes estimators provide an advantageous compromise between the extremes of assuming common dispersion or separate genewise dispersion. The methods developed here can also be applied to count data arising from DNA-Seq applications, including ChIP-Seq for epigenetic marks and DNA methylation analyses. © 2011 The Author(s).","author":[{"dropping-particle":"","family":"McCarthy","given":"Davis J.","non-dropping-particle":"","parse-names":false,"suffix":""},{"dropping-particle":"","family":"Chen","given":"Yunshun","non-dropping-particle":"","parse-names":false,"suffix":""},{"dropping-particle":"","family":"Smyth","given":"Gordon K.","non-dropping-particle":"","parse-names":false,"suffix":""}],"container-title":"Nucleic Acids Research","id":"ITEM-2","issue":"10","issued":{"date-parts":[["2012"]]},"page":"4288-4297","title":"Differential expression analysis of multifactor RNA-Seq experiments with respect to biological variation","type":"article-journal","volume":"40"},"uris":["http://www.mendeley.com/documents/?uuid=516a54a3-f5e8-497f-b82c-861c932a6049"]}],"mendeley":{"formattedCitation":"(23, 24)","plainTextFormattedCitation":"(23, 24)","previouslyFormattedCitation":"[27], [28]"},"properties":{"noteIndex":0},"schema":"https://github.com/citation-style-language/schema/raw/master/csl-citation.json"}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Robinson et al., 2009;</w:t>
            </w:r>
            <w:r w:rsidRPr="00913A8E">
              <w:t xml:space="preserve"> </w:t>
            </w:r>
            <w:r>
              <w:t>McCarthy et al., 2012</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sidRPr="00C44645">
              <w:rPr>
                <w:rFonts w:eastAsia="Times New Roman"/>
                <w:noProof w:val="0"/>
                <w:snapToGrid w:val="0"/>
                <w:szCs w:val="22"/>
                <w:lang w:eastAsia="de-DE" w:bidi="en-US"/>
              </w:rPr>
              <w:t xml:space="preserve"> (adjusted p-value &lt; 0.05)</w:t>
            </w:r>
          </w:p>
        </w:tc>
        <w:tc>
          <w:tcPr>
            <w:tcW w:w="2273" w:type="dxa"/>
            <w:tcBorders>
              <w:top w:val="nil"/>
              <w:left w:val="nil"/>
              <w:bottom w:val="nil"/>
            </w:tcBorders>
          </w:tcPr>
          <w:p w14:paraId="1708AD14" w14:textId="77777777" w:rsidR="00B01C37" w:rsidRPr="00C44645" w:rsidRDefault="00B01C37" w:rsidP="00693DCD">
            <w:pPr>
              <w:rPr>
                <w:rFonts w:eastAsia="Times New Roman"/>
                <w:noProof w:val="0"/>
                <w:snapToGrid w:val="0"/>
                <w:szCs w:val="22"/>
                <w:lang w:eastAsia="de-DE" w:bidi="en-US"/>
              </w:rPr>
            </w:pPr>
          </w:p>
        </w:tc>
      </w:tr>
      <w:tr w:rsidR="00B01C37" w:rsidRPr="008F7695" w14:paraId="23482C3A" w14:textId="77777777" w:rsidTr="00693DCD">
        <w:tc>
          <w:tcPr>
            <w:tcW w:w="1701" w:type="dxa"/>
            <w:tcBorders>
              <w:top w:val="nil"/>
              <w:right w:val="nil"/>
            </w:tcBorders>
          </w:tcPr>
          <w:p w14:paraId="57053059"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Study B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{"citationItems":[{"id":"ITEM-1","itemData":{"DOI":"10.1038/s42003-020-01425-y","ISSN":"23993642","PMID":"33230160","abstract":"Virus-induced plant diseases in cultivated plants cause important damages in yield. Although the mechanisms of virus infection are intensely studied at the cell biology level, only little is known about the molecular dialog between the invading virus and the host genome. Here we describe a combinatorial genome-wide approach to identify networks of sRNAs-guided post-transcriptional regulation within local Turnip mosaic virus (TuMV) infection sites in Brassica napus leaves. We show that the induction of host-encoded, virus-activated small interfering RNAs (vasiRNAs) observed in virus-infected tissues is accompanied by site-specific cleavage events on both viral and host RNAs that recalls the activity of small RNA-induced silencing complexes (RISC). Cleavage events also involve virus-derived siRNA (vsiRNA)–directed cleavage of target host transcripts as well as cleavage of viral RNA by both host vasiRNAs and vsiRNAs. Furthermore, certain coding genes act as virus-activated regulatory hubs to produce vasiRNAs for the targeting of other host genes. The observations draw an advanced model of plant-virus interactions and provide insights into the complex regulatory networking at the plant-virus interface within cells undergoing early stages of infection.","author":[{"dropping-particle":"","family":"Pitzalis","given":"Nicolas","non-dropping-particle":"","parse-names":false,"suffix":""},{"dropping-particle":"","family":"Amari","given":"Khalid","non-dropping-particle":"","parse-names":false,"suffix":""},{"dropping-particle":"","family":"Graindorge","given":"Stéfanie","non-dropping-particle":"","parse-names":false,"suffix":""},{"dropping-particle":"","family":"Pflieger","given":"David","non-dropping-particle":"","parse-names":false,"suffix":""},{"dropping-particle":"","family":"Donaire","given":"Livia","non-dropping-particle":"","parse-names":false,"suffix":""},{"dropping-particle":"","family":"Wassenegger","given":"Michael","non-dropping-particle":"","parse-names":false,"suffix":""},{"dropping-particle":"","family":"Llave","given":"César","non-dropping-particle":"","parse-names":false,"suffix":""},{"dropping-particle":"","family":"Heinlein","given":"Manfred","non-dropping-particle":"","parse-names":false,"suffix":""}],"container-title":"Communications Biology","id":"ITEM-1","issue":"1","issued":{"date-parts":[["2020"]]},"page":"1-16","title":"Turnip mosaic virus in oilseed rape activates networks of sRNA-mediated interactions between viral and host genomes","type":"article-journal","volume":"3"},"uris":["http://www.mendeley.com/documents/?uuid=b64b0db1-8427-4878-9d40-6e9f5dc4db40"]}],"mendeley":{"formattedCitation":"(30)","plainTextFormattedCitation":"(30)","previouslyFormattedCitation":"[34]"},"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Pitzalis et al., 2020</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c>
          <w:tcPr>
            <w:tcW w:w="1554" w:type="dxa"/>
            <w:tcBorders>
              <w:top w:val="nil"/>
              <w:left w:val="nil"/>
              <w:right w:val="nil"/>
            </w:tcBorders>
          </w:tcPr>
          <w:p w14:paraId="7D1C9D9F"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Cutadapt</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author":[{"dropping-particle":"","family":"Martin","given":"Marcel","non-dropping-particle":"","parse-names":false,"suffix":""}],"container-title":"EMBnet.journal","id":"ITEM-1","issued":{"date-parts":[["2011"]]},"page":"10-12","title":"Cutadapt removes adapter sequences from high-throughput sequencing reads","type":"article-journal","volume":"17"},"uris":["http://www.mendeley.com/documents/?uuid=15bbb1bf-0667-464e-b398-c30f1d93fe0a"]}],"mendeley":{"formattedCitation":"(36)","plainTextFormattedCitation":"(36)","previouslyFormattedCitation":"[40]"},"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t xml:space="preserve"> </w:t>
            </w:r>
            <w:r w:rsidRPr="00412015">
              <w:rPr>
                <w:rFonts w:eastAsia="Times New Roman"/>
                <w:noProof w:val="0"/>
                <w:snapToGrid w:val="0"/>
                <w:szCs w:val="22"/>
                <w:lang w:eastAsia="de-DE" w:bidi="en-US"/>
              </w:rPr>
              <w:t>Martin, 2011</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p>
        </w:tc>
        <w:tc>
          <w:tcPr>
            <w:tcW w:w="1423" w:type="dxa"/>
            <w:tcBorders>
              <w:top w:val="nil"/>
              <w:left w:val="nil"/>
              <w:right w:val="nil"/>
            </w:tcBorders>
          </w:tcPr>
          <w:p w14:paraId="4DD7CE0E"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Bowtie2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{"citationItems":[{"id":"ITEM-1","itemData":{"DOI":"10.1038/nmeth.1923","ISSN":"1548-7105","abstract":"The Bowtie 2 software achieves fast, sensitive, accurate and memory-efficient gapped alignment of sequencing reads using the full-text minute index and hardware-accelerated dynamic programming algorithms.","author":[{"dropping-particle":"","family":"Langmead","given":"Ben","non-dropping-particle":"","parse-names":false,"suffix":""},{"dropping-particle":"","family":"Salzberg","given":"Steven L","non-dropping-particle":"","parse-names":false,"suffix":""}],"container-title":"Nature Methods","id":"ITEM-1","issue":"4","issued":{"date-parts":[["2012"]]},"page":"357-359","title":"Fast gapped-read alignment with Bowtie 2","type":"article-journal","volume":"9"},"uris":["http://www.mendeley.com/documents/?uuid=b8339e6f-8b86-4167-b242-3b52fd36c34c"]}],"mendeley":{"formattedCitation":"(31)","plainTextFormattedCitation":"(31)","previouslyFormattedCitation":"[35]"},"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rPr>
                <w:rFonts w:eastAsia="Times New Roman"/>
                <w:noProof w:val="0"/>
                <w:snapToGrid w:val="0"/>
                <w:szCs w:val="22"/>
                <w:lang w:eastAsia="de-DE" w:bidi="en-US"/>
              </w:rPr>
              <w:t xml:space="preserve"> Langmead and Salzberg, 2012</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Pr>
                <w:rFonts w:eastAsia="Times New Roman"/>
                <w:noProof w:val="0"/>
                <w:snapToGrid w:val="0"/>
                <w:szCs w:val="22"/>
                <w:lang w:eastAsia="de-DE" w:bidi="en-US"/>
              </w:rPr>
              <w:t>)</w:t>
            </w:r>
            <w:r w:rsidRPr="00C44645">
              <w:rPr>
                <w:rFonts w:eastAsia="Times New Roman"/>
                <w:noProof w:val="0"/>
                <w:snapToGrid w:val="0"/>
                <w:szCs w:val="22"/>
                <w:lang w:eastAsia="de-DE" w:bidi="en-US"/>
              </w:rPr>
              <w:t xml:space="preserve"> (-t -N 0–end- to-end–very-sensitive–score-min C,0,0)</w:t>
            </w:r>
          </w:p>
        </w:tc>
        <w:tc>
          <w:tcPr>
            <w:tcW w:w="2930" w:type="dxa"/>
            <w:tcBorders>
              <w:top w:val="nil"/>
              <w:left w:val="nil"/>
              <w:right w:val="nil"/>
            </w:tcBorders>
          </w:tcPr>
          <w:p w14:paraId="6B08BB23" w14:textId="77777777" w:rsidR="00B01C37" w:rsidRPr="00C44645" w:rsidRDefault="00B01C37" w:rsidP="00693DCD">
            <w:pPr>
              <w:rPr>
                <w:rFonts w:eastAsia="Times New Roman"/>
                <w:noProof w:val="0"/>
                <w:snapToGrid w:val="0"/>
                <w:szCs w:val="22"/>
                <w:lang w:eastAsia="de-DE" w:bidi="en-US"/>
              </w:rPr>
            </w:pPr>
            <w:r w:rsidRPr="00C44645">
              <w:rPr>
                <w:rFonts w:eastAsia="Times New Roman"/>
                <w:noProof w:val="0"/>
                <w:snapToGrid w:val="0"/>
                <w:szCs w:val="22"/>
                <w:lang w:eastAsia="de-DE" w:bidi="en-US"/>
              </w:rPr>
              <w:t xml:space="preserve">DESeq2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{"citationItems":[{"id":"ITEM-1","itemData":{"DOI":"10.1186/s13059-014-0550-8","ISSN":"1474-760X","abstract":"In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Biology","id":"ITEM-1","issue":"12","issued":{"date-parts":[["2014"]]},"page":"550","title":"Moderated estimation of fold change and dispersion for RNA-seq data with DESeq2","type":"article-journal","volume":"15"},"uris":["http://www.mendeley.com/documents/?uuid=887fad2a-1981-48e3-b102-450b5c43f3cc"]}],"mendeley":{"formattedCitation":"(37)","plainTextFormattedCitation":"(37)","previouslyFormattedCitation":"[41]"},"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rPr>
                <w:rFonts w:eastAsia="Times New Roman"/>
                <w:noProof w:val="0"/>
                <w:snapToGrid w:val="0"/>
                <w:szCs w:val="22"/>
                <w:lang w:eastAsia="de-DE" w:bidi="en-US"/>
              </w:rPr>
              <w:t>Love et al., 2014</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sidRPr="00C44645">
              <w:rPr>
                <w:rFonts w:eastAsia="Times New Roman"/>
                <w:noProof w:val="0"/>
                <w:snapToGrid w:val="0"/>
                <w:szCs w:val="22"/>
                <w:lang w:eastAsia="de-DE" w:bidi="en-US"/>
              </w:rPr>
              <w:t xml:space="preserve"> ( &gt;= 150 mean reads and p-value &lt; 0.05)</w:t>
            </w:r>
          </w:p>
        </w:tc>
        <w:tc>
          <w:tcPr>
            <w:tcW w:w="2273" w:type="dxa"/>
            <w:tcBorders>
              <w:top w:val="nil"/>
              <w:left w:val="nil"/>
            </w:tcBorders>
          </w:tcPr>
          <w:p w14:paraId="49001591" w14:textId="77777777" w:rsidR="00B01C37" w:rsidRPr="00C44645" w:rsidRDefault="00B01C37" w:rsidP="00693DCD">
            <w:pPr>
              <w:rPr>
                <w:rFonts w:eastAsia="Times New Roman"/>
                <w:noProof w:val="0"/>
                <w:snapToGrid w:val="0"/>
                <w:szCs w:val="22"/>
                <w:lang w:eastAsia="de-DE" w:bidi="en-US"/>
              </w:rPr>
            </w:pPr>
            <w:proofErr w:type="spellStart"/>
            <w:r w:rsidRPr="00C44645">
              <w:rPr>
                <w:rFonts w:eastAsia="Times New Roman"/>
                <w:noProof w:val="0"/>
                <w:snapToGrid w:val="0"/>
                <w:szCs w:val="22"/>
                <w:lang w:eastAsia="de-DE" w:bidi="en-US"/>
              </w:rPr>
              <w:t>mirBase</w:t>
            </w:r>
            <w:proofErr w:type="spellEnd"/>
            <w:r w:rsidRPr="00C44645">
              <w:rPr>
                <w:rFonts w:eastAsia="Times New Roman"/>
                <w:noProof w:val="0"/>
                <w:snapToGrid w:val="0"/>
                <w:szCs w:val="22"/>
                <w:lang w:eastAsia="de-DE" w:bidi="en-US"/>
              </w:rPr>
              <w:t xml:space="preserve"> </w:t>
            </w:r>
            <w:r w:rsidRPr="00C44645">
              <w:rPr>
                <w:rFonts w:eastAsia="Times New Roman"/>
                <w:noProof w:val="0"/>
                <w:snapToGrid w:val="0"/>
                <w:szCs w:val="22"/>
                <w:lang w:eastAsia="de-DE" w:bidi="en-US"/>
              </w:rPr>
              <w:fldChar w:fldCharType="begin" w:fldLock="1"/>
            </w:r>
            <w:r w:rsidRPr="00C44645">
              <w:rPr>
                <w:rFonts w:eastAsia="Times New Roman"/>
                <w:noProof w:val="0"/>
                <w:snapToGrid w:val="0"/>
                <w:szCs w:val="22"/>
                <w:lang w:eastAsia="de-DE" w:bidi="en-US"/>
              </w:rPr>
              <w:instrText>ADDIN CSL_CITATION {"citationItems":[{"id":"ITEM-1","itemData":{"DOI":"10.1093/nar/gky1141","ISSN":"13624962","PMID":"30423142","abstract":"miRBase catalogs, names and distributes microRNA gene sequences. The latest release of miRBase (v22) contains microRNA sequences from 271 organisms: 38 589 hairpin precursors and 48 860 mature microRNAs. We describe improvements to the database and website to provide more information about the quality of microRNA gene annotations, and the cellular functions of their products. We have collected 1493 small RNA deep sequencing datasets and mapped a total of 5.5 billion reads to microRNA sequences. The read mapping patterns provide strong support for the validity of between 20% and 65% of microRNA annotations in different well-studied animal genomes, and evidence for the removal of &gt;200 sequences from the database. To improve the availability of microRNA functional information, we are disseminating Gene Ontology terms annotated against miRBase sequences. We have also used a text-mining approach to search for microRNA gene names in the full-Text of open access articles. Over 500 000 sentences from 18 542 papers contain microRNA names. We score these sentences for functional information and link them with 12 519 microRNA entries. The sentences themselves, and word clouds built from them, provide effective summaries of the functional information about specific microRNAs. miRBase is publicly and freely available at http://mirbase.org/.","author":[{"dropping-particle":"","family":"Kozomara","given":"Ana","non-dropping-particle":"","parse-names":false,"suffix":""},{"dropping-particle":"","family":"Birgaoanu","given":"Maria","non-dropping-particle":"","parse-names":false,"suffix":""},{"dropping-particle":"","family":"Griffiths-Jones","given":"Sam","non-dropping-particle":"","parse-names":false,"suffix":""}],"container-title":"Nucleic Acids Research","id":"ITEM-1","issue":"D1","issued":{"date-parts":[["2019"]]},"page":"D155-D162","publisher":"Oxford University Press","title":"MiRBase: From microRNA sequences to function","type":"article-journal","volume":"47"},"uris":["http://www.mendeley.com/documents/?uuid=90358338-7122-4dd9-b220-93319d30b1ac"]}],"mendeley":{"formattedCitation":"(26)","plainTextFormattedCitation":"(26)","previouslyFormattedCitation":"[30]"},"properties":{"noteIndex":0},"schema":"https://github.com/citation-style-language/schema/raw/master/csl-citation.json"}</w:instrText>
            </w:r>
            <w:r w:rsidRPr="00C44645">
              <w:rPr>
                <w:rFonts w:eastAsia="Times New Roman"/>
                <w:noProof w:val="0"/>
                <w:snapToGrid w:val="0"/>
                <w:szCs w:val="22"/>
                <w:lang w:eastAsia="de-DE" w:bidi="en-US"/>
              </w:rPr>
              <w:fldChar w:fldCharType="separate"/>
            </w:r>
            <w:r w:rsidRPr="00C44645">
              <w:rPr>
                <w:rFonts w:eastAsia="Times New Roman"/>
                <w:noProof w:val="0"/>
                <w:snapToGrid w:val="0"/>
                <w:szCs w:val="22"/>
                <w:lang w:eastAsia="de-DE" w:bidi="en-US"/>
              </w:rPr>
              <w:t>(</w:t>
            </w:r>
            <w:r>
              <w:rPr>
                <w:rFonts w:eastAsia="Times New Roman"/>
                <w:noProof w:val="0"/>
                <w:snapToGrid w:val="0"/>
                <w:szCs w:val="22"/>
                <w:lang w:eastAsia="de-DE" w:bidi="en-US"/>
              </w:rPr>
              <w:t xml:space="preserve"> </w:t>
            </w:r>
            <w:proofErr w:type="spellStart"/>
            <w:r>
              <w:rPr>
                <w:rFonts w:eastAsia="Times New Roman"/>
                <w:noProof w:val="0"/>
                <w:snapToGrid w:val="0"/>
                <w:szCs w:val="22"/>
                <w:lang w:eastAsia="de-DE" w:bidi="en-US"/>
              </w:rPr>
              <w:t>Kozomara</w:t>
            </w:r>
            <w:proofErr w:type="spellEnd"/>
            <w:r>
              <w:rPr>
                <w:rFonts w:eastAsia="Times New Roman"/>
                <w:noProof w:val="0"/>
                <w:snapToGrid w:val="0"/>
                <w:szCs w:val="22"/>
                <w:lang w:eastAsia="de-DE" w:bidi="en-US"/>
              </w:rPr>
              <w:t xml:space="preserve"> et al., 2019</w:t>
            </w:r>
            <w:r w:rsidRPr="00C44645">
              <w:rPr>
                <w:rFonts w:eastAsia="Times New Roman"/>
                <w:noProof w:val="0"/>
                <w:snapToGrid w:val="0"/>
                <w:szCs w:val="22"/>
                <w:lang w:eastAsia="de-DE" w:bidi="en-US"/>
              </w:rPr>
              <w:t>)</w:t>
            </w:r>
            <w:r w:rsidRPr="00C44645">
              <w:rPr>
                <w:rFonts w:eastAsia="Times New Roman"/>
                <w:noProof w:val="0"/>
                <w:snapToGrid w:val="0"/>
                <w:szCs w:val="22"/>
                <w:lang w:eastAsia="de-DE" w:bidi="en-US"/>
              </w:rPr>
              <w:fldChar w:fldCharType="end"/>
            </w:r>
            <w:r w:rsidRPr="00C44645">
              <w:rPr>
                <w:rFonts w:eastAsia="Times New Roman"/>
                <w:noProof w:val="0"/>
                <w:snapToGrid w:val="0"/>
                <w:szCs w:val="22"/>
                <w:lang w:eastAsia="de-DE" w:bidi="en-US"/>
              </w:rPr>
              <w:t xml:space="preserve"> and other sources described in the publication.</w:t>
            </w:r>
          </w:p>
        </w:tc>
      </w:tr>
    </w:tbl>
    <w:p w14:paraId="22D56AAA" w14:textId="77777777" w:rsidR="00B01C37" w:rsidRDefault="00B01C37" w:rsidP="00B01C37">
      <w:pPr>
        <w:pStyle w:val="MDPI31text"/>
      </w:pPr>
    </w:p>
    <w:p w14:paraId="25C02508" w14:textId="77777777" w:rsidR="00A84A0A" w:rsidRDefault="00A84A0A"/>
    <w:sectPr w:rsidR="00A84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7"/>
    <w:rsid w:val="001A1D7B"/>
    <w:rsid w:val="00A4513F"/>
    <w:rsid w:val="00A84A0A"/>
    <w:rsid w:val="00B01C37"/>
    <w:rsid w:val="00D9071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CBE96A4"/>
  <w15:chartTrackingRefBased/>
  <w15:docId w15:val="{B439F5E4-C1FD-8E4F-961B-2288C75B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37"/>
    <w:pPr>
      <w:spacing w:line="260" w:lineRule="atLeast"/>
      <w:jc w:val="both"/>
    </w:pPr>
    <w:rPr>
      <w:rFonts w:ascii="Palatino Linotype" w:eastAsia="SimSun" w:hAnsi="Palatino Linotype" w:cs="Times New Roman"/>
      <w:noProof/>
      <w:color w:val="00000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B01C37"/>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table" w:styleId="TableGrid">
    <w:name w:val="Table Grid"/>
    <w:basedOn w:val="TableNormal"/>
    <w:uiPriority w:val="39"/>
    <w:rsid w:val="00B01C37"/>
    <w:pPr>
      <w:spacing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4547</Words>
  <Characters>25918</Characters>
  <Application>Microsoft Office Word</Application>
  <DocSecurity>0</DocSecurity>
  <Lines>215</Lines>
  <Paragraphs>60</Paragraphs>
  <ScaleCrop>false</ScaleCrop>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2022-09-23T07:48:00Z</dcterms:created>
  <dcterms:modified xsi:type="dcterms:W3CDTF">2022-09-23T08:09:00Z</dcterms:modified>
</cp:coreProperties>
</file>